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5AB" w:rsidRPr="00E7754A" w:rsidRDefault="00DF75AB">
      <w:pPr>
        <w:pStyle w:val="8"/>
        <w:framePr w:hSpace="180" w:wrap="around" w:hAnchor="margin" w:y="-446"/>
        <w:spacing w:before="0"/>
        <w:jc w:val="right"/>
        <w:rPr>
          <w:rFonts w:ascii="Arial" w:hAnsi="Arial" w:cs="Arial"/>
          <w:i w:val="0"/>
          <w:sz w:val="16"/>
          <w:szCs w:val="18"/>
        </w:rPr>
      </w:pPr>
      <w:r w:rsidRPr="00E7754A">
        <w:rPr>
          <w:rFonts w:ascii="Arial" w:hAnsi="Arial" w:cs="Arial"/>
          <w:i w:val="0"/>
          <w:sz w:val="16"/>
          <w:szCs w:val="18"/>
        </w:rPr>
        <w:t>Приложение №24</w:t>
      </w:r>
    </w:p>
    <w:p w:rsidR="00E7754A" w:rsidRPr="00E7754A" w:rsidRDefault="00DF75AB">
      <w:pPr>
        <w:framePr w:hSpace="180" w:wrap="around" w:hAnchor="margin" w:y="-446"/>
        <w:jc w:val="right"/>
        <w:rPr>
          <w:rFonts w:ascii="Arial" w:hAnsi="Arial" w:cs="Arial"/>
          <w:sz w:val="16"/>
          <w:szCs w:val="18"/>
        </w:rPr>
      </w:pPr>
      <w:r w:rsidRPr="00E7754A">
        <w:rPr>
          <w:rFonts w:ascii="Arial" w:hAnsi="Arial" w:cs="Arial"/>
          <w:sz w:val="16"/>
          <w:szCs w:val="18"/>
        </w:rPr>
        <w:t xml:space="preserve">к Регламенту оказания брокерских услуг </w:t>
      </w:r>
    </w:p>
    <w:p w:rsidR="00DF75AB" w:rsidRPr="00E7754A" w:rsidRDefault="00DF75AB">
      <w:pPr>
        <w:framePr w:hSpace="180" w:wrap="around" w:hAnchor="margin" w:y="-446"/>
        <w:jc w:val="right"/>
        <w:rPr>
          <w:rFonts w:ascii="Arial" w:hAnsi="Arial" w:cs="Arial"/>
          <w:sz w:val="16"/>
          <w:szCs w:val="18"/>
        </w:rPr>
      </w:pPr>
      <w:r w:rsidRPr="00E7754A">
        <w:rPr>
          <w:rFonts w:ascii="Arial" w:hAnsi="Arial" w:cs="Arial"/>
          <w:sz w:val="16"/>
          <w:szCs w:val="18"/>
        </w:rPr>
        <w:t xml:space="preserve">на финансовых рынках  </w:t>
      </w:r>
    </w:p>
    <w:p w:rsidR="00DF75AB" w:rsidRPr="00E7754A" w:rsidRDefault="00DF75AB">
      <w:pPr>
        <w:pStyle w:val="af"/>
        <w:jc w:val="right"/>
        <w:rPr>
          <w:b w:val="0"/>
          <w:caps/>
          <w:sz w:val="16"/>
          <w:szCs w:val="18"/>
        </w:rPr>
      </w:pPr>
      <w:r w:rsidRPr="00E7754A">
        <w:rPr>
          <w:b w:val="0"/>
          <w:sz w:val="16"/>
          <w:szCs w:val="18"/>
        </w:rPr>
        <w:t>ООО «Твой Брокер»</w:t>
      </w:r>
    </w:p>
    <w:p w:rsidR="00DF75AB" w:rsidRDefault="00DF75AB">
      <w:pPr>
        <w:pStyle w:val="af"/>
        <w:rPr>
          <w:caps/>
          <w:sz w:val="20"/>
          <w:szCs w:val="20"/>
        </w:rPr>
      </w:pPr>
    </w:p>
    <w:p w:rsidR="00DF75AB" w:rsidRDefault="00DF75AB">
      <w:pPr>
        <w:pStyle w:val="af"/>
        <w:rPr>
          <w:caps/>
        </w:rPr>
      </w:pPr>
    </w:p>
    <w:p w:rsidR="00DF75AB" w:rsidRDefault="00DF75AB">
      <w:pPr>
        <w:pStyle w:val="af"/>
        <w:rPr>
          <w:caps/>
        </w:rPr>
      </w:pPr>
      <w:r>
        <w:rPr>
          <w:caps/>
        </w:rPr>
        <w:t xml:space="preserve">соглашение </w:t>
      </w:r>
    </w:p>
    <w:p w:rsidR="00DF75AB" w:rsidRDefault="00DF75AB">
      <w:pPr>
        <w:tabs>
          <w:tab w:val="left" w:pos="0"/>
        </w:tabs>
        <w:jc w:val="center"/>
        <w:rPr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на ведение Индивидуального инвестиционного счета</w:t>
      </w:r>
      <w:r>
        <w:rPr>
          <w:b/>
          <w:sz w:val="22"/>
          <w:szCs w:val="22"/>
        </w:rPr>
        <w:t xml:space="preserve"> </w:t>
      </w:r>
    </w:p>
    <w:p w:rsidR="00DF75AB" w:rsidRDefault="00DF75AB">
      <w:pPr>
        <w:tabs>
          <w:tab w:val="left" w:pos="709"/>
        </w:tabs>
        <w:rPr>
          <w:sz w:val="20"/>
          <w:szCs w:val="20"/>
        </w:rPr>
      </w:pPr>
    </w:p>
    <w:p w:rsidR="00DF75AB" w:rsidRDefault="00DF75AB">
      <w:pPr>
        <w:pStyle w:val="a"/>
        <w:ind w:left="2115"/>
        <w:rPr>
          <w:rFonts w:cs="Arial"/>
        </w:rPr>
      </w:pPr>
      <w:r>
        <w:rPr>
          <w:rFonts w:cs="Arial"/>
        </w:rPr>
        <w:t xml:space="preserve"> Общие положения</w:t>
      </w:r>
    </w:p>
    <w:p w:rsidR="00DF75AB" w:rsidRDefault="00DF75AB">
      <w:pPr>
        <w:pStyle w:val="a0"/>
        <w:ind w:left="703" w:hanging="703"/>
        <w:rPr>
          <w:rFonts w:cs="Arial"/>
        </w:rPr>
      </w:pPr>
      <w:r>
        <w:rPr>
          <w:rFonts w:cs="Arial"/>
        </w:rPr>
        <w:t xml:space="preserve">Направление Клиентом в адрес ООО «Твой Брокер» (далее – Брокер) заявления о присоединении к </w:t>
      </w:r>
      <w:hyperlink r:id="rId7" w:history="1">
        <w:r w:rsidR="00CF7CB8" w:rsidRPr="00CF7CB8">
          <w:rPr>
            <w:rStyle w:val="ab"/>
            <w:rFonts w:cs="Arial"/>
          </w:rPr>
          <w:t>Р</w:t>
        </w:r>
        <w:r w:rsidRPr="00CF7CB8">
          <w:rPr>
            <w:rStyle w:val="ab"/>
            <w:rFonts w:cs="Arial"/>
          </w:rPr>
          <w:t>егламенту оказания брокерских услуг на финансовых рынках ООО «Твой Брокер»</w:t>
        </w:r>
      </w:hyperlink>
      <w:r>
        <w:rPr>
          <w:rFonts w:cs="Arial"/>
        </w:rPr>
        <w:t xml:space="preserve"> (далее – Регламент) по форме </w:t>
      </w:r>
      <w:hyperlink r:id="rId8" w:history="1">
        <w:r w:rsidRPr="00E7754A">
          <w:rPr>
            <w:rStyle w:val="ab"/>
            <w:rFonts w:cs="Arial"/>
          </w:rPr>
          <w:t>Приложения №1а-иис</w:t>
        </w:r>
      </w:hyperlink>
      <w:r w:rsidRPr="00E7754A">
        <w:rPr>
          <w:rFonts w:cs="Arial"/>
        </w:rPr>
        <w:t xml:space="preserve"> </w:t>
      </w:r>
      <w:r>
        <w:rPr>
          <w:rFonts w:cs="Arial"/>
        </w:rPr>
        <w:t>к Регламенту</w:t>
      </w:r>
      <w:r w:rsidR="00CF7CB8">
        <w:rPr>
          <w:rFonts w:cs="Arial"/>
        </w:rPr>
        <w:t xml:space="preserve"> </w:t>
      </w:r>
      <w:r>
        <w:rPr>
          <w:rFonts w:cs="Arial"/>
          <w:color w:val="000000"/>
          <w:spacing w:val="-4"/>
        </w:rPr>
        <w:t>в целях заключения   Договора на брокерское обслуживание на ведение индивидуального инвестиционного счета</w:t>
      </w:r>
      <w:r>
        <w:rPr>
          <w:rFonts w:cs="Arial"/>
        </w:rPr>
        <w:t xml:space="preserve"> подразумевает также присоединение Клиента к настоящему соглашению на ведение Индивидуального инвестиционного счета (далее – Соглашение).</w:t>
      </w:r>
      <w:r>
        <w:rPr>
          <w:rFonts w:cs="Arial"/>
          <w:b/>
          <w:color w:val="000000"/>
          <w:spacing w:val="-4"/>
        </w:rPr>
        <w:t xml:space="preserve"> </w:t>
      </w:r>
    </w:p>
    <w:p w:rsidR="00DF75AB" w:rsidRDefault="00DF75AB">
      <w:pPr>
        <w:pStyle w:val="a0"/>
        <w:ind w:left="703" w:hanging="703"/>
        <w:rPr>
          <w:rFonts w:cs="Arial"/>
        </w:rPr>
      </w:pPr>
      <w:r>
        <w:rPr>
          <w:rFonts w:cs="Arial"/>
        </w:rPr>
        <w:t>В рамках настоящего Соглашения Брокер открывает Клиенту Индивидуальный инвестиционный счет (далее – ИИС), а Клиент обязуется обеспечивать наличие на указанном ИИС денежных средств в сумме, необходимой для заключения сделок, исполнения обязательств по указанным сделкам, а также оплачивать вознаграждение Брокера и все расходы, связанные с исполнением поручений Клиента в порядке, установленном Договором и настоящим Соглашением.</w:t>
      </w:r>
    </w:p>
    <w:p w:rsidR="00DF75AB" w:rsidRDefault="00DF75AB">
      <w:pPr>
        <w:pStyle w:val="a0"/>
        <w:rPr>
          <w:rFonts w:cs="Arial"/>
        </w:rPr>
      </w:pPr>
      <w:r>
        <w:rPr>
          <w:rFonts w:cs="Arial"/>
        </w:rPr>
        <w:t>Договор на брокерское обслуживание на ведение индивидуального инвестиционного счета действует до даты его расторжения.</w:t>
      </w:r>
    </w:p>
    <w:p w:rsidR="00DF75AB" w:rsidRDefault="00DF75AB">
      <w:pPr>
        <w:pStyle w:val="a0"/>
        <w:ind w:left="703" w:hanging="703"/>
        <w:rPr>
          <w:rFonts w:cs="Arial"/>
        </w:rPr>
      </w:pPr>
      <w:r>
        <w:rPr>
          <w:rFonts w:cs="Arial"/>
        </w:rPr>
        <w:t>Во всех вопросах, не урегулированных настоящим Соглашением, Стороны руководствуются положениями Регламента, действующим законодательством Российской Федерации.</w:t>
      </w:r>
    </w:p>
    <w:p w:rsidR="00DF75AB" w:rsidRDefault="00DF75AB">
      <w:pPr>
        <w:pStyle w:val="a"/>
        <w:ind w:left="2115"/>
        <w:rPr>
          <w:rFonts w:cs="Arial"/>
        </w:rPr>
      </w:pPr>
      <w:r>
        <w:rPr>
          <w:rFonts w:cs="Arial"/>
        </w:rPr>
        <w:t>Термины и определения</w:t>
      </w:r>
    </w:p>
    <w:p w:rsidR="00DF75AB" w:rsidRDefault="00DF75AB">
      <w:pPr>
        <w:pStyle w:val="a0"/>
        <w:ind w:left="703" w:hanging="703"/>
        <w:rPr>
          <w:rFonts w:cs="Arial"/>
        </w:rPr>
      </w:pPr>
      <w:r>
        <w:rPr>
          <w:rFonts w:cs="Arial"/>
        </w:rPr>
        <w:t xml:space="preserve">Если иное не оговорено специально в тексте настоящего Соглашения, то термины и определения, использованные по тексту настоящего Соглашения, применяются в значениях, определенных в </w:t>
      </w:r>
      <w:hyperlink r:id="rId9" w:history="1">
        <w:r w:rsidRPr="00CF7CB8">
          <w:rPr>
            <w:rStyle w:val="ab"/>
            <w:rFonts w:cs="Arial"/>
          </w:rPr>
          <w:t>Регламенте</w:t>
        </w:r>
      </w:hyperlink>
      <w:r>
        <w:rPr>
          <w:rFonts w:cs="Arial"/>
        </w:rPr>
        <w:t xml:space="preserve"> и в Правилах Торговой системы.</w:t>
      </w:r>
    </w:p>
    <w:p w:rsidR="00DF75AB" w:rsidRDefault="00DF75AB">
      <w:pPr>
        <w:pStyle w:val="a0"/>
        <w:spacing w:after="120"/>
        <w:ind w:left="703" w:hanging="703"/>
        <w:rPr>
          <w:rFonts w:cs="Arial"/>
        </w:rPr>
      </w:pPr>
      <w:r>
        <w:rPr>
          <w:rFonts w:cs="Arial"/>
        </w:rPr>
        <w:t>Стороны договорились использовать приведенные ниже термины по тексту настоящего Соглашения в следующем значении:</w:t>
      </w:r>
    </w:p>
    <w:tbl>
      <w:tblPr>
        <w:tblW w:w="9160" w:type="dxa"/>
        <w:tblInd w:w="668" w:type="dxa"/>
        <w:tblLook w:val="01E0" w:firstRow="1" w:lastRow="1" w:firstColumn="1" w:lastColumn="1" w:noHBand="0" w:noVBand="0"/>
      </w:tblPr>
      <w:tblGrid>
        <w:gridCol w:w="3040"/>
        <w:gridCol w:w="6120"/>
      </w:tblGrid>
      <w:tr w:rsidR="00DF75AB">
        <w:trPr>
          <w:trHeight w:val="340"/>
        </w:trPr>
        <w:tc>
          <w:tcPr>
            <w:tcW w:w="3040" w:type="dxa"/>
            <w:shd w:val="clear" w:color="auto" w:fill="auto"/>
          </w:tcPr>
          <w:p w:rsidR="00DF75AB" w:rsidRDefault="00DF75AB">
            <w:pPr>
              <w:pStyle w:val="af2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Индивидуальный инвестиционный счет (ИИС)</w:t>
            </w:r>
          </w:p>
        </w:tc>
        <w:tc>
          <w:tcPr>
            <w:tcW w:w="6120" w:type="dxa"/>
            <w:shd w:val="clear" w:color="auto" w:fill="auto"/>
          </w:tcPr>
          <w:p w:rsidR="00DF75AB" w:rsidRPr="00E7754A" w:rsidRDefault="00DF75AB">
            <w:pPr>
              <w:pStyle w:val="a0"/>
              <w:numPr>
                <w:ilvl w:val="0"/>
                <w:numId w:val="0"/>
              </w:numPr>
              <w:rPr>
                <w:rFonts w:cs="Arial"/>
              </w:rPr>
            </w:pPr>
            <w:r w:rsidRPr="00E7754A">
              <w:rPr>
                <w:rFonts w:cs="Arial"/>
              </w:rPr>
              <w:t>счет внутреннего учета, который предназначен для обособленного учета денежных средств, ценных бумаг клиента - физического лица, обязательств по договорам, заключенным за счет указанного клиента, и который открывается и ведется Брокером в соответствии с положениями законодательства Российской Федерации</w:t>
            </w:r>
          </w:p>
        </w:tc>
      </w:tr>
      <w:tr w:rsidR="00DF75AB">
        <w:trPr>
          <w:trHeight w:val="340"/>
        </w:trPr>
        <w:tc>
          <w:tcPr>
            <w:tcW w:w="3040" w:type="dxa"/>
            <w:shd w:val="clear" w:color="auto" w:fill="auto"/>
          </w:tcPr>
          <w:p w:rsidR="00DF75AB" w:rsidRDefault="00DF75AB" w:rsidP="00593883">
            <w:pPr>
              <w:pStyle w:val="af2"/>
              <w:jc w:val="left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Индивидуальный инвестиционный счет-1 (далее – ИИС)</w:t>
            </w:r>
          </w:p>
        </w:tc>
        <w:tc>
          <w:tcPr>
            <w:tcW w:w="6120" w:type="dxa"/>
            <w:shd w:val="clear" w:color="auto" w:fill="auto"/>
          </w:tcPr>
          <w:p w:rsidR="00DF75AB" w:rsidRPr="00E7754A" w:rsidRDefault="00DF75AB">
            <w:pPr>
              <w:pStyle w:val="af2"/>
              <w:rPr>
                <w:rFonts w:cs="Arial"/>
                <w:color w:val="000000"/>
              </w:rPr>
            </w:pPr>
            <w:r w:rsidRPr="00E7754A">
              <w:rPr>
                <w:rFonts w:cs="Arial"/>
                <w:color w:val="000000"/>
              </w:rPr>
              <w:t xml:space="preserve">ИИС, открытый Клиенту: </w:t>
            </w:r>
          </w:p>
          <w:p w:rsidR="00E7754A" w:rsidRPr="00E7754A" w:rsidRDefault="00DF75AB" w:rsidP="00E7754A">
            <w:pPr>
              <w:pStyle w:val="af2"/>
              <w:numPr>
                <w:ilvl w:val="0"/>
                <w:numId w:val="55"/>
              </w:numPr>
              <w:rPr>
                <w:rFonts w:cs="Arial"/>
                <w:color w:val="000000"/>
              </w:rPr>
            </w:pPr>
            <w:r w:rsidRPr="00E7754A">
              <w:rPr>
                <w:rFonts w:cs="Arial"/>
                <w:color w:val="000000"/>
              </w:rPr>
              <w:t>в период с 01.01.2015 года по 31.12.2023 года включительно, за исключением ИИС, открытого в указанный в период, но в отношении, которого Клиент в порядке, предусмотренном Регламентом, заявил о его использовании в качестве ИИС, открытого после 01.01.2024 года,</w:t>
            </w:r>
            <w:r w:rsidR="00E7754A" w:rsidRPr="00E7754A">
              <w:rPr>
                <w:rFonts w:cs="Arial"/>
                <w:color w:val="000000"/>
              </w:rPr>
              <w:t xml:space="preserve"> </w:t>
            </w:r>
          </w:p>
          <w:p w:rsidR="00E7754A" w:rsidRPr="00E7754A" w:rsidRDefault="00DF75AB" w:rsidP="00E7754A">
            <w:pPr>
              <w:pStyle w:val="af2"/>
              <w:ind w:left="720"/>
              <w:rPr>
                <w:rFonts w:cs="Arial"/>
                <w:color w:val="000000"/>
              </w:rPr>
            </w:pPr>
            <w:r w:rsidRPr="00E7754A">
              <w:rPr>
                <w:rFonts w:cs="Arial"/>
                <w:color w:val="000000"/>
              </w:rPr>
              <w:t xml:space="preserve">или </w:t>
            </w:r>
          </w:p>
          <w:p w:rsidR="00DF75AB" w:rsidRPr="00E7754A" w:rsidRDefault="00DF75AB" w:rsidP="00E7754A">
            <w:pPr>
              <w:pStyle w:val="af2"/>
              <w:numPr>
                <w:ilvl w:val="0"/>
                <w:numId w:val="55"/>
              </w:numPr>
              <w:rPr>
                <w:rFonts w:cs="Arial"/>
                <w:color w:val="000000"/>
              </w:rPr>
            </w:pPr>
            <w:r w:rsidRPr="00E7754A">
              <w:rPr>
                <w:rFonts w:cs="Arial"/>
                <w:color w:val="000000"/>
              </w:rPr>
              <w:t>после 01.01.2024 года для целей передачи, перевода Клиентом денежных средств, ценных бумаг, учитываемых на ИИС, открытом у другого профессионального участника рынка ценных бумаг в период с 01.01.2015 года по 31.12.2023 года включительно.</w:t>
            </w:r>
          </w:p>
        </w:tc>
      </w:tr>
      <w:tr w:rsidR="00DF75AB">
        <w:trPr>
          <w:trHeight w:val="340"/>
        </w:trPr>
        <w:tc>
          <w:tcPr>
            <w:tcW w:w="3040" w:type="dxa"/>
            <w:shd w:val="clear" w:color="auto" w:fill="auto"/>
          </w:tcPr>
          <w:p w:rsidR="00DF75AB" w:rsidRDefault="00DF75AB" w:rsidP="00593883">
            <w:pPr>
              <w:pStyle w:val="af2"/>
              <w:jc w:val="left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Индивидуальный инвестиционный счет-3 (далее – ИИС3)</w:t>
            </w:r>
          </w:p>
        </w:tc>
        <w:tc>
          <w:tcPr>
            <w:tcW w:w="6120" w:type="dxa"/>
            <w:shd w:val="clear" w:color="auto" w:fill="auto"/>
          </w:tcPr>
          <w:p w:rsidR="00DF75AB" w:rsidRPr="00E7754A" w:rsidRDefault="00DF75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54A">
              <w:rPr>
                <w:rFonts w:ascii="Arial" w:hAnsi="Arial" w:cs="Arial"/>
                <w:color w:val="000000"/>
                <w:sz w:val="20"/>
                <w:szCs w:val="20"/>
              </w:rPr>
              <w:t xml:space="preserve">ИИС, открытый Клиенту: </w:t>
            </w:r>
          </w:p>
          <w:p w:rsidR="00DF75AB" w:rsidRPr="00E7754A" w:rsidRDefault="00DF75AB" w:rsidP="00E7754A">
            <w:pPr>
              <w:numPr>
                <w:ilvl w:val="0"/>
                <w:numId w:val="56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54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после 01.01.2024 года в случае если на момент заключения договора на ведение ИИС Клиент не имел действующего договора на ведение ИИС, заключенного в период с 01.01.2015 года по 31.12.2023 года включительно, </w:t>
            </w:r>
          </w:p>
          <w:p w:rsidR="00E7754A" w:rsidRPr="00E7754A" w:rsidRDefault="00DF75AB" w:rsidP="00E7754A">
            <w:pPr>
              <w:ind w:left="7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54A">
              <w:rPr>
                <w:rFonts w:ascii="Arial" w:hAnsi="Arial" w:cs="Arial"/>
                <w:color w:val="000000"/>
                <w:sz w:val="20"/>
                <w:szCs w:val="20"/>
              </w:rPr>
              <w:t xml:space="preserve">или </w:t>
            </w:r>
          </w:p>
          <w:p w:rsidR="00DF75AB" w:rsidRPr="00E7754A" w:rsidRDefault="00DF75AB" w:rsidP="00593883">
            <w:pPr>
              <w:numPr>
                <w:ilvl w:val="0"/>
                <w:numId w:val="56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54A">
              <w:rPr>
                <w:rFonts w:ascii="Arial" w:hAnsi="Arial" w:cs="Arial"/>
                <w:color w:val="000000"/>
                <w:sz w:val="20"/>
                <w:szCs w:val="20"/>
              </w:rPr>
              <w:t xml:space="preserve">в период с 01.01.2015 года по 31.12.2023 года включительно, но, в отношении которого Клиент в порядке, предусмотренном Регламентом, заявил о его использовании в качестве ИИС, открытого после </w:t>
            </w:r>
            <w:r w:rsidRPr="00E7754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01.01.2024 года (далее – Трансформирование в ИИС3 индивидуального инвестиционного счета, открытого в рамках договора на ведение ИИС, заключенного в период с 01.01.2015 года по 31.12.2023 года включительно).</w:t>
            </w:r>
          </w:p>
        </w:tc>
      </w:tr>
      <w:tr w:rsidR="00DF75AB">
        <w:trPr>
          <w:trHeight w:val="340"/>
        </w:trPr>
        <w:tc>
          <w:tcPr>
            <w:tcW w:w="3040" w:type="dxa"/>
            <w:shd w:val="clear" w:color="auto" w:fill="auto"/>
          </w:tcPr>
          <w:p w:rsidR="00DF75AB" w:rsidRDefault="00DF75AB">
            <w:pPr>
              <w:pStyle w:val="af2"/>
              <w:jc w:val="left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lastRenderedPageBreak/>
              <w:t xml:space="preserve">Лимит Индивидуального инвестиционного счета </w:t>
            </w:r>
          </w:p>
        </w:tc>
        <w:tc>
          <w:tcPr>
            <w:tcW w:w="6120" w:type="dxa"/>
            <w:shd w:val="clear" w:color="auto" w:fill="auto"/>
          </w:tcPr>
          <w:p w:rsidR="00DF75AB" w:rsidRDefault="00DF75AB">
            <w:pPr>
              <w:pStyle w:val="af2"/>
              <w:rPr>
                <w:rFonts w:cs="Arial"/>
                <w:color w:val="000000"/>
              </w:rPr>
            </w:pPr>
            <w:r>
              <w:t>Совокупная сумма денежных средств, которые могут быть переданы в течение календарного года Клиентом для зачисления на Индивидуальный инвестиционный счет, в соответствии с законодательством Российской Федерации</w:t>
            </w:r>
          </w:p>
        </w:tc>
      </w:tr>
      <w:tr w:rsidR="00DF75AB">
        <w:trPr>
          <w:trHeight w:val="340"/>
        </w:trPr>
        <w:tc>
          <w:tcPr>
            <w:tcW w:w="3040" w:type="dxa"/>
            <w:shd w:val="clear" w:color="auto" w:fill="auto"/>
          </w:tcPr>
          <w:p w:rsidR="00DF75AB" w:rsidRDefault="00DF75AB">
            <w:pPr>
              <w:pStyle w:val="af2"/>
              <w:jc w:val="left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Зачисления на Индивидуальный инвестиционный счет</w:t>
            </w:r>
          </w:p>
        </w:tc>
        <w:tc>
          <w:tcPr>
            <w:tcW w:w="6120" w:type="dxa"/>
            <w:shd w:val="clear" w:color="auto" w:fill="auto"/>
          </w:tcPr>
          <w:p w:rsidR="00DF75AB" w:rsidRDefault="00DF75AB">
            <w:pPr>
              <w:pStyle w:val="af2"/>
            </w:pPr>
            <w:r>
              <w:t>Сумма денежных средств, направляемых Клиентом для зачисления на Индивидуальный инвестиционный счет.</w:t>
            </w:r>
          </w:p>
        </w:tc>
      </w:tr>
    </w:tbl>
    <w:p w:rsidR="00DF75AB" w:rsidRDefault="00DF75AB">
      <w:pPr>
        <w:pStyle w:val="a"/>
        <w:ind w:left="2115"/>
        <w:rPr>
          <w:rFonts w:cs="Arial"/>
        </w:rPr>
      </w:pPr>
      <w:r>
        <w:rPr>
          <w:rFonts w:cs="Arial"/>
        </w:rPr>
        <w:t>Предмет Соглашения</w:t>
      </w:r>
    </w:p>
    <w:p w:rsidR="00DF75AB" w:rsidRDefault="00DF75AB">
      <w:pPr>
        <w:pStyle w:val="a0"/>
        <w:ind w:left="703" w:hanging="703"/>
        <w:rPr>
          <w:rFonts w:cs="Arial"/>
        </w:rPr>
      </w:pPr>
      <w:r>
        <w:rPr>
          <w:rFonts w:cs="Arial"/>
        </w:rPr>
        <w:t>Настоящее Соглашение определяет порядок открытия, ведения и закрытия ИИС.</w:t>
      </w:r>
    </w:p>
    <w:p w:rsidR="00DF75AB" w:rsidRDefault="00DF75AB">
      <w:pPr>
        <w:pStyle w:val="a"/>
        <w:ind w:left="2115"/>
        <w:rPr>
          <w:rFonts w:cs="Arial"/>
        </w:rPr>
      </w:pPr>
      <w:r>
        <w:t>Регистрация и открытие индивидуального инвестиционного счета</w:t>
      </w:r>
    </w:p>
    <w:p w:rsidR="00DF75AB" w:rsidRDefault="00DF75AB">
      <w:pPr>
        <w:pStyle w:val="a0"/>
      </w:pPr>
      <w:r>
        <w:t xml:space="preserve">Клиент вправе одновременно иметь не более трех Договоров </w:t>
      </w:r>
      <w:r w:rsidR="00593883">
        <w:rPr>
          <w:color w:val="000000"/>
        </w:rPr>
        <w:t>ИИС3</w:t>
      </w:r>
      <w:r>
        <w:rPr>
          <w:color w:val="000000"/>
        </w:rPr>
        <w:t>.</w:t>
      </w:r>
    </w:p>
    <w:p w:rsidR="00DF75AB" w:rsidRDefault="00DF75AB">
      <w:pPr>
        <w:pStyle w:val="a0"/>
      </w:pPr>
      <w:r>
        <w:t xml:space="preserve">Настоящим Клиент подтверждает, что на дату присоединения к настоящему Соглашению Клиент не имеет иных действующих договоров на ведение </w:t>
      </w:r>
      <w:r w:rsidR="00593883">
        <w:t>ИИС</w:t>
      </w:r>
      <w:r>
        <w:t xml:space="preserve"> либо более двух действующих договоров на ведение </w:t>
      </w:r>
      <w:r w:rsidR="00593883">
        <w:t>ИИС3</w:t>
      </w:r>
      <w:r>
        <w:t>.</w:t>
      </w:r>
    </w:p>
    <w:p w:rsidR="00DF75AB" w:rsidRDefault="00DF75AB">
      <w:pPr>
        <w:pStyle w:val="a0"/>
      </w:pPr>
      <w:r>
        <w:t xml:space="preserve">В случае наличия у Клиента еще одного действующего ранее заключенного договора на ведение </w:t>
      </w:r>
      <w:r w:rsidR="00593883">
        <w:t>ИИС</w:t>
      </w:r>
      <w:r>
        <w:t xml:space="preserve"> либо трех </w:t>
      </w:r>
      <w:r w:rsidR="00593883">
        <w:t>ИИС3</w:t>
      </w:r>
      <w:r>
        <w:t xml:space="preserve"> </w:t>
      </w:r>
      <w:r>
        <w:rPr>
          <w:rFonts w:cs="Arial"/>
        </w:rPr>
        <w:t>Клиент подтверждает, что один из таких счетов будет закрыт, а договор прекращен в течение 30 (тридцати) календарных дней со дня присоединения Клиента к настоящему Соглашению.</w:t>
      </w:r>
    </w:p>
    <w:p w:rsidR="00DF75AB" w:rsidRDefault="00DF75AB">
      <w:pPr>
        <w:pStyle w:val="a0"/>
        <w:rPr>
          <w:rFonts w:cs="Arial"/>
        </w:rPr>
      </w:pPr>
      <w:r>
        <w:t xml:space="preserve">Брокер обязан в течение пяти рабочих дней с даты присоединения Клиента к настоящему Соглашению открыть в системе внутреннего учета Брокера Клиентский счет типа </w:t>
      </w:r>
      <w:r w:rsidR="00593883">
        <w:t>ИИС</w:t>
      </w:r>
      <w:r>
        <w:t xml:space="preserve"> либо </w:t>
      </w:r>
      <w:r w:rsidR="00593883">
        <w:t>ИИС3</w:t>
      </w:r>
      <w:r>
        <w:t>, на котором будет вестись обособленный учет денежных средств Клиента, предназначенных для совершения операций на соответствующем рынке:</w:t>
      </w:r>
    </w:p>
    <w:p w:rsidR="00DF75AB" w:rsidRDefault="00DF75AB" w:rsidP="00E7754A">
      <w:pPr>
        <w:pStyle w:val="a0"/>
        <w:numPr>
          <w:ilvl w:val="0"/>
          <w:numId w:val="58"/>
        </w:numPr>
        <w:ind w:left="1276" w:hanging="567"/>
      </w:pPr>
      <w:r>
        <w:t>для учета сделок на фондовом рынке Брокер открывает Клиенту Счет_</w:t>
      </w:r>
      <w:r>
        <w:rPr>
          <w:lang w:val="en-US"/>
        </w:rPr>
        <w:t>I</w:t>
      </w:r>
      <w:r>
        <w:t>;</w:t>
      </w:r>
    </w:p>
    <w:p w:rsidR="00E7754A" w:rsidRDefault="00DF75AB" w:rsidP="00E7754A">
      <w:pPr>
        <w:pStyle w:val="a0"/>
        <w:numPr>
          <w:ilvl w:val="0"/>
          <w:numId w:val="58"/>
        </w:numPr>
        <w:ind w:left="1276" w:hanging="567"/>
      </w:pPr>
      <w:r>
        <w:t xml:space="preserve">для учета сделок с Валютными инструментами Брокер открывает Клиенту </w:t>
      </w:r>
      <w:proofErr w:type="spellStart"/>
      <w:r>
        <w:t>Счет_FX</w:t>
      </w:r>
      <w:proofErr w:type="spellEnd"/>
      <w:r w:rsidRPr="00E7754A">
        <w:rPr>
          <w:lang w:val="en-US"/>
        </w:rPr>
        <w:t>I</w:t>
      </w:r>
      <w:r>
        <w:t>;</w:t>
      </w:r>
    </w:p>
    <w:p w:rsidR="00DF75AB" w:rsidRPr="00E7754A" w:rsidRDefault="00DF75AB" w:rsidP="00E7754A">
      <w:pPr>
        <w:pStyle w:val="a0"/>
        <w:numPr>
          <w:ilvl w:val="0"/>
          <w:numId w:val="58"/>
        </w:numPr>
        <w:ind w:left="1276" w:hanging="567"/>
        <w:rPr>
          <w:rFonts w:cs="Arial"/>
        </w:rPr>
      </w:pPr>
      <w:r>
        <w:t>с целью заключения по поручению Клиента сделок с иностранными ценными бумагами</w:t>
      </w:r>
      <w:r w:rsidR="00E7754A">
        <w:t xml:space="preserve"> </w:t>
      </w:r>
      <w:r>
        <w:t>на ПАО «СПБ Биржа» Брокер открывает Клиенту Счет_</w:t>
      </w:r>
      <w:r w:rsidRPr="00E7754A">
        <w:rPr>
          <w:lang w:val="en-US"/>
        </w:rPr>
        <w:t>SPI</w:t>
      </w:r>
    </w:p>
    <w:p w:rsidR="00DF75AB" w:rsidRDefault="00DF75AB">
      <w:pPr>
        <w:pStyle w:val="a"/>
        <w:spacing w:after="120"/>
        <w:ind w:left="2132"/>
        <w:rPr>
          <w:rFonts w:cs="Arial"/>
        </w:rPr>
      </w:pPr>
      <w:r>
        <w:rPr>
          <w:rFonts w:cs="Arial"/>
        </w:rPr>
        <w:t>ведение индивидуального инвестиционного счета</w:t>
      </w:r>
    </w:p>
    <w:p w:rsidR="00DF75AB" w:rsidRDefault="00DF75AB">
      <w:pPr>
        <w:pStyle w:val="a0"/>
      </w:pPr>
      <w:r>
        <w:t>В рамках данного Соглашения допускается передача Клиентом только денежных средств в рублях РФ. Совокупная сумма передаваемых средств, которые могут быть переданы Клиентом в течение календарного года для зачисления на ИИС, не может превышать Лимита ИИС.</w:t>
      </w:r>
    </w:p>
    <w:p w:rsidR="00DF75AB" w:rsidRDefault="00DF75AB">
      <w:pPr>
        <w:pStyle w:val="a0"/>
      </w:pPr>
      <w:r>
        <w:rPr>
          <w:rFonts w:cs="Arial"/>
        </w:rPr>
        <w:t xml:space="preserve">Денежные средства, ценные бумаги и </w:t>
      </w:r>
      <w:r>
        <w:t>драгоценные металлы</w:t>
      </w:r>
      <w:r>
        <w:rPr>
          <w:rFonts w:cs="Arial"/>
        </w:rPr>
        <w:t>, которые учтены на ИИС, могут быть использованы для исполнения обязательств, возникших только на основании Договора ИИС, или для обеспечения исполнения указанных обязательств.</w:t>
      </w:r>
    </w:p>
    <w:p w:rsidR="00DF75AB" w:rsidRDefault="00DF75AB">
      <w:pPr>
        <w:pStyle w:val="a0"/>
      </w:pPr>
      <w:r>
        <w:t>Денежные средства, поступившие в результате исполнения гражданско-правовых сделок, заключаемых за счет активов, находящихся на ИИС, открытом в рамках Договора ИИС, зачисляются Брокером на данный ИИС Клиента, без учета ограничений, установленных в пункте 5.1</w:t>
      </w:r>
      <w:r w:rsidR="004B1E65">
        <w:t xml:space="preserve"> настоящего Соглашения</w:t>
      </w:r>
      <w:r>
        <w:t>, если иное не будет указано Клиентом при подписании Договора ИИС.</w:t>
      </w:r>
    </w:p>
    <w:p w:rsidR="001833BB" w:rsidRPr="001833BB" w:rsidRDefault="001833BB" w:rsidP="001833BB">
      <w:pPr>
        <w:pStyle w:val="a0"/>
      </w:pPr>
      <w:r w:rsidRPr="001833BB">
        <w:t>Денежные средства, поступившие в связи с выплатами доходов по ценным бумагам, учитываемым на ИИС, зачисляются только на индивидуальный инвестиционный счет, за исключением случаев выплат дохода по счетам ИИС, открытым до 31.12.2023, при наличии заявления Клиента.</w:t>
      </w:r>
    </w:p>
    <w:p w:rsidR="00DF75AB" w:rsidRDefault="00DF75AB">
      <w:pPr>
        <w:pStyle w:val="a0"/>
      </w:pPr>
      <w:bookmarkStart w:id="0" w:name="_GoBack"/>
      <w:bookmarkEnd w:id="0"/>
      <w:r>
        <w:t>Брокер принимает от Клиента денежные средства на ИИС только с банковского счета, открытого на имя Клиента, либо с Клиентского счета, открытого в рамках иного Договора на брокерское обслуживание, заключенного между Клиентом и Брокером.</w:t>
      </w:r>
    </w:p>
    <w:p w:rsidR="00DF75AB" w:rsidRDefault="00DF75AB">
      <w:pPr>
        <w:pStyle w:val="a0"/>
      </w:pPr>
      <w:r>
        <w:t>В случае превышения суммы зачислений на ИИС Лимита ИИС, Клиент настоящим уполномочивает Брокера зачислить сумму, превышающую лимит ИИС, на Клиентский счет Клиента, открытый в рамках другого Договора на брокерское обслуживание, заключенного между Брокером и Клиентом либо на собственный банковский счет Клиента, указанный в Анкете Клиента.</w:t>
      </w:r>
    </w:p>
    <w:p w:rsidR="00DF75AB" w:rsidRDefault="00DF75AB">
      <w:pPr>
        <w:pStyle w:val="a0"/>
      </w:pPr>
      <w:r>
        <w:t>Клиент считается подавшим соответствующее Поручение Брокеру на перевод денежных средств на Клиентский счет Клиента, открытый в рамках другого Договора на брокерское обслуживание, заключенного между Брокером и Клиентом, либо подавшим соответствующее Поручение Брокеру на вывод денежных средств на собственный банковский счет Клиента, указанный в Анкете Клиента.</w:t>
      </w:r>
    </w:p>
    <w:p w:rsidR="00DF75AB" w:rsidRDefault="00DF75AB">
      <w:pPr>
        <w:pStyle w:val="a0"/>
      </w:pPr>
      <w:r>
        <w:lastRenderedPageBreak/>
        <w:t>Порядок зачисления/списания денежных средств/ценных бумаг определяется разделом 3</w:t>
      </w:r>
      <w:r w:rsidR="004B1E65">
        <w:t>2</w:t>
      </w:r>
      <w:r>
        <w:t xml:space="preserve"> </w:t>
      </w:r>
      <w:hyperlink r:id="rId10" w:history="1">
        <w:r w:rsidRPr="004B1E65">
          <w:rPr>
            <w:rStyle w:val="ab"/>
          </w:rPr>
          <w:t>Регламента</w:t>
        </w:r>
      </w:hyperlink>
      <w:r>
        <w:t>.</w:t>
      </w:r>
    </w:p>
    <w:p w:rsidR="00DF75AB" w:rsidRDefault="00DF75AB">
      <w:pPr>
        <w:pStyle w:val="a0"/>
      </w:pPr>
      <w:r>
        <w:t>Порядок подачи Поручений определяется разделом 3</w:t>
      </w:r>
      <w:r w:rsidR="004B1E65">
        <w:t>4</w:t>
      </w:r>
      <w:r>
        <w:t xml:space="preserve"> </w:t>
      </w:r>
      <w:hyperlink r:id="rId11" w:history="1">
        <w:r w:rsidR="004B1E65" w:rsidRPr="004B1E65">
          <w:rPr>
            <w:rStyle w:val="ab"/>
          </w:rPr>
          <w:t>Регламента</w:t>
        </w:r>
      </w:hyperlink>
      <w:r>
        <w:t>.</w:t>
      </w:r>
    </w:p>
    <w:p w:rsidR="00DF75AB" w:rsidRDefault="00DF75AB">
      <w:pPr>
        <w:pStyle w:val="a0"/>
      </w:pPr>
      <w:r>
        <w:t xml:space="preserve">Клиент вправе заявить об использовании ИИС, открытого ему в период с 1 января 2015 года по 31 декабря 2023 года включительно, в качестве ИИС, открытого после 1 января 2024 года, посредством направления Брокеру соответствующего заявления по форме, установленной Приложением № 7-15 к </w:t>
      </w:r>
      <w:r w:rsidR="004B1E65" w:rsidRPr="00CF7CB8">
        <w:t>Регламент</w:t>
      </w:r>
      <w:r w:rsidR="00CF7CB8" w:rsidRPr="00CF7CB8">
        <w:t>у</w:t>
      </w:r>
      <w:r>
        <w:t>.</w:t>
      </w:r>
    </w:p>
    <w:p w:rsidR="00DF75AB" w:rsidRDefault="00DF75AB">
      <w:pPr>
        <w:pStyle w:val="a0"/>
        <w:rPr>
          <w:color w:val="000000"/>
        </w:rPr>
      </w:pPr>
      <w:r>
        <w:rPr>
          <w:color w:val="000000"/>
        </w:rPr>
        <w:t>Брокер не принимает передаваемые другим профессиональным участником рынка денежные средства и ценные бумаги для их учета на индивидуальном инвестиционном счете Клиента в порядке перевода активов, учитываемых на другом ИИС, открытом тому же Клиенту другим профессиональным участником рынка ценных бумаг.</w:t>
      </w:r>
    </w:p>
    <w:p w:rsidR="00DF75AB" w:rsidRDefault="00DF75AB">
      <w:pPr>
        <w:pStyle w:val="a"/>
        <w:spacing w:after="120"/>
        <w:ind w:left="2132"/>
        <w:rPr>
          <w:rFonts w:cs="Arial"/>
        </w:rPr>
      </w:pPr>
      <w:r>
        <w:rPr>
          <w:rFonts w:cs="Arial"/>
        </w:rPr>
        <w:t>Вознаграждение Брокера</w:t>
      </w:r>
    </w:p>
    <w:p w:rsidR="00DF75AB" w:rsidRDefault="00DF75AB">
      <w:pPr>
        <w:pStyle w:val="a0"/>
        <w:rPr>
          <w:rFonts w:cs="Arial"/>
        </w:rPr>
      </w:pPr>
      <w:r>
        <w:t>Ко всем сделкам, совершаемым Клиентом в рамках Договора ИИС, применяются ставки вознаграждения Брокера</w:t>
      </w:r>
      <w:r>
        <w:rPr>
          <w:rFonts w:cs="Arial"/>
        </w:rPr>
        <w:t xml:space="preserve"> в соответствии с действующими Тарифами к Договору. Брокер вправе удерживать Вознаграждение Брокера по Договору ИИС за счет денежных средств, учитываемых по иным Договорам на брокерское обслуживание, заключенным с Клиентом в рамках настоящего Регламента.</w:t>
      </w:r>
    </w:p>
    <w:p w:rsidR="00DF75AB" w:rsidRDefault="00DF75AB">
      <w:pPr>
        <w:pStyle w:val="a0"/>
        <w:ind w:left="709" w:hanging="709"/>
        <w:rPr>
          <w:rFonts w:cs="Arial"/>
        </w:rPr>
      </w:pPr>
      <w:r>
        <w:rPr>
          <w:rFonts w:cs="Arial"/>
        </w:rPr>
        <w:t>Порядок уплаты вознаграждения Брокера определяется положениями Регламента.</w:t>
      </w:r>
    </w:p>
    <w:p w:rsidR="00DF75AB" w:rsidRDefault="00DF75AB">
      <w:pPr>
        <w:pStyle w:val="a0"/>
        <w:ind w:left="709" w:hanging="709"/>
        <w:rPr>
          <w:rFonts w:cs="Arial"/>
        </w:rPr>
      </w:pPr>
      <w:r>
        <w:rPr>
          <w:rFonts w:cs="Arial"/>
        </w:rPr>
        <w:t>Изменение и дополнение Тарифов производится Брокером в одностороннем порядке в соответствии с условиями Регламента.</w:t>
      </w:r>
    </w:p>
    <w:p w:rsidR="00DF75AB" w:rsidRDefault="00DF75AB">
      <w:pPr>
        <w:pStyle w:val="a"/>
        <w:ind w:left="1066" w:hanging="357"/>
        <w:rPr>
          <w:rFonts w:cs="Arial"/>
        </w:rPr>
      </w:pPr>
      <w:bookmarkStart w:id="1" w:name="_Toc327972869"/>
      <w:r>
        <w:rPr>
          <w:rFonts w:cs="Arial"/>
        </w:rPr>
        <w:t xml:space="preserve">СРОК ДЕЙСТВИЯ </w:t>
      </w:r>
      <w:bookmarkEnd w:id="1"/>
      <w:r>
        <w:rPr>
          <w:rFonts w:cs="Arial"/>
        </w:rPr>
        <w:t xml:space="preserve">Соглашения </w:t>
      </w:r>
    </w:p>
    <w:p w:rsidR="00DF75AB" w:rsidRDefault="00DF75AB">
      <w:pPr>
        <w:pStyle w:val="a0"/>
        <w:ind w:left="703" w:hanging="703"/>
        <w:rPr>
          <w:rFonts w:cs="Arial"/>
        </w:rPr>
      </w:pPr>
      <w:r>
        <w:t>Соглашение сохраняет свою силу до даты расторжения Сторонами Договора ИИС. Частичное или полное изъятие Клиентом денежных средств, учитываемых на ИИС, допускается с одновременным расторжением Договора ИИС.</w:t>
      </w:r>
    </w:p>
    <w:p w:rsidR="00DF75AB" w:rsidRDefault="00DF75AB">
      <w:pPr>
        <w:pStyle w:val="a0"/>
        <w:ind w:left="703" w:hanging="703"/>
        <w:rPr>
          <w:rFonts w:cs="Arial"/>
        </w:rPr>
      </w:pPr>
      <w:r>
        <w:t>Клиент вправе расторгнуть Договор ИИС и передать учтенные на ИИС денежные средства и ценные бумаги другому профессиональному участнику рынка ценных бумаг, с которым заключен договор на ведение ИИС.</w:t>
      </w:r>
    </w:p>
    <w:p w:rsidR="00DF75AB" w:rsidRDefault="00DF75AB">
      <w:pPr>
        <w:pStyle w:val="a0"/>
        <w:ind w:left="703" w:hanging="703"/>
        <w:rPr>
          <w:rFonts w:cs="Arial"/>
        </w:rPr>
      </w:pPr>
      <w:r>
        <w:rPr>
          <w:rFonts w:cs="Arial"/>
        </w:rPr>
        <w:t>Клиент имеет право расторгнуть Договор ИИС одним из следующих способов:</w:t>
      </w:r>
    </w:p>
    <w:p w:rsidR="00DF75AB" w:rsidRPr="004B1E65" w:rsidRDefault="00DF75AB" w:rsidP="004B1E65">
      <w:pPr>
        <w:pStyle w:val="a0"/>
        <w:numPr>
          <w:ilvl w:val="0"/>
          <w:numId w:val="58"/>
        </w:numPr>
        <w:ind w:left="1276" w:hanging="567"/>
      </w:pPr>
      <w:r w:rsidRPr="004B1E65">
        <w:t>подав Заявление на вывод активов со счета ИИС;</w:t>
      </w:r>
    </w:p>
    <w:p w:rsidR="00DF75AB" w:rsidRPr="004B1E65" w:rsidRDefault="00DF75AB" w:rsidP="004B1E65">
      <w:pPr>
        <w:pStyle w:val="a0"/>
        <w:numPr>
          <w:ilvl w:val="0"/>
          <w:numId w:val="58"/>
        </w:numPr>
        <w:ind w:left="1276" w:hanging="567"/>
      </w:pPr>
      <w:r w:rsidRPr="004B1E65">
        <w:t>подав</w:t>
      </w:r>
      <w:r>
        <w:t xml:space="preserve"> </w:t>
      </w:r>
      <w:r w:rsidRPr="004B1E65">
        <w:t>Заявление на расторжение Договора ИИС.</w:t>
      </w:r>
    </w:p>
    <w:p w:rsidR="00DF75AB" w:rsidRDefault="00DF75AB">
      <w:pPr>
        <w:pStyle w:val="a0"/>
        <w:ind w:left="703" w:hanging="703"/>
      </w:pPr>
      <w:r>
        <w:t xml:space="preserve">Договор </w:t>
      </w:r>
      <w:r w:rsidR="00593883">
        <w:t>ИИС3</w:t>
      </w:r>
      <w:r>
        <w:t xml:space="preserve"> не прекращается в случае подачи Клиентом Заявления (Требование о возврате денежных средств, учитываемых на индивидуальном инвестиционном счете при возникновении особой жизненной ситуации) на вывод денежных средств со счета ИИС3 при возникновении особой жизненной ситуации после заключения Договора ИИС (Приложение №</w:t>
      </w:r>
      <w:r w:rsidR="004B1E65">
        <w:t> </w:t>
      </w:r>
      <w:r>
        <w:t xml:space="preserve">8Б_2 к </w:t>
      </w:r>
      <w:hyperlink r:id="rId12" w:history="1">
        <w:r w:rsidR="004B1E65" w:rsidRPr="004B1E65">
          <w:rPr>
            <w:rStyle w:val="ab"/>
          </w:rPr>
          <w:t>Регламент</w:t>
        </w:r>
        <w:r w:rsidR="00CF7CB8">
          <w:rPr>
            <w:rStyle w:val="ab"/>
          </w:rPr>
          <w:t>у</w:t>
        </w:r>
      </w:hyperlink>
      <w:r>
        <w:t>, содержащее сведения, предусмотренные п. 1.1. Указания Банка России №</w:t>
      </w:r>
      <w:r w:rsidR="00CF7CB8">
        <w:t> </w:t>
      </w:r>
      <w:r>
        <w:t>6713-У) Для целей настоящего пункта под особой жизненной ситуацией физического лица понимается выплата медицинским организациям, индивидуальным предпринимателям, осуществляющим медицинскую деятельность, в счет оплаты дорогостоящих видов лечения, перечень которых утвержден Правительством Российской Федерации, в размере стоимости таких видов лечения.</w:t>
      </w:r>
    </w:p>
    <w:p w:rsidR="00DF75AB" w:rsidRDefault="00DF75AB">
      <w:pPr>
        <w:pStyle w:val="a0"/>
        <w:numPr>
          <w:ilvl w:val="0"/>
          <w:numId w:val="0"/>
        </w:numPr>
        <w:ind w:left="705"/>
        <w:rPr>
          <w:rFonts w:cs="Arial"/>
        </w:rPr>
      </w:pPr>
      <w:r>
        <w:rPr>
          <w:rFonts w:cs="Arial"/>
        </w:rPr>
        <w:t xml:space="preserve">Порядок и сроки выплаты денежных средств, учитываемых на </w:t>
      </w:r>
      <w:r w:rsidR="00593883">
        <w:rPr>
          <w:rFonts w:cs="Arial"/>
        </w:rPr>
        <w:t>ИИС3</w:t>
      </w:r>
      <w:r>
        <w:rPr>
          <w:rFonts w:cs="Arial"/>
        </w:rPr>
        <w:t xml:space="preserve">, в случае наступления особой жизненной ситуации, в том числе требования к составу документов, которые должны быть предоставлены в указанном случае Клиентом Брокеру, </w:t>
      </w:r>
      <w:r>
        <w:t xml:space="preserve"> </w:t>
      </w:r>
      <w:r>
        <w:rPr>
          <w:rFonts w:cs="Arial"/>
        </w:rPr>
        <w:t>установлены в соответствии с Указанием Банка России от 08.04.2024 № 6713-У «О порядке и сроках выплаты денежных средств, учитываемых на индивидуальном инвестиционном счете, в случае наступления особой жизненной ситуации, а также о требованиях к осуществлению брокерской деятельности, деятельности по управлению ценными бумагами и деятельности управляющих компаний открытых паевых инвестиционных фондов при осуществлении указанной выплаты» (далее — Указание Банка России № 6713-У).Брокер осуществляет выплату денежных средств в пределах суммы остатка денежных средств, учитываемых на ИИС Клиента (определяемого Брокером с учетом денежных требований Брокера к Клиенту), в размере, указанном в Требовании о возврате денежных средств, учитываемых на индивидуальном инвестиционном счете, на банковский счет медицинской организации (индивидуального предпринимателя, осуществляющего медицинскую деятельность), указанный в Требовании о возврате денежных средств, учитываемых на индивидуальном инвестиционном счете.</w:t>
      </w:r>
    </w:p>
    <w:p w:rsidR="00DF75AB" w:rsidRDefault="00DF75AB">
      <w:pPr>
        <w:pStyle w:val="a0"/>
        <w:ind w:left="703" w:hanging="703"/>
        <w:rPr>
          <w:rFonts w:cs="Arial"/>
        </w:rPr>
      </w:pPr>
      <w:r>
        <w:rPr>
          <w:rFonts w:cs="Arial"/>
        </w:rPr>
        <w:t xml:space="preserve">Клиент направляет Заявление на расторжение Договора ИИС по форме, установленной в Приложении № 7-8а к </w:t>
      </w:r>
      <w:hyperlink r:id="rId13" w:history="1">
        <w:r w:rsidR="00CF7CB8" w:rsidRPr="004B1E65">
          <w:rPr>
            <w:rStyle w:val="ab"/>
          </w:rPr>
          <w:t>Регламент</w:t>
        </w:r>
        <w:r w:rsidR="00CF7CB8">
          <w:rPr>
            <w:rStyle w:val="ab"/>
          </w:rPr>
          <w:t>у</w:t>
        </w:r>
      </w:hyperlink>
      <w:r>
        <w:rPr>
          <w:rFonts w:cs="Arial"/>
        </w:rPr>
        <w:t>.</w:t>
      </w:r>
    </w:p>
    <w:p w:rsidR="00DF75AB" w:rsidRDefault="00DF75AB">
      <w:pPr>
        <w:pStyle w:val="a0"/>
        <w:ind w:left="703" w:hanging="703"/>
        <w:rPr>
          <w:rFonts w:cs="Arial"/>
        </w:rPr>
      </w:pPr>
      <w:r>
        <w:rPr>
          <w:rFonts w:cs="Arial"/>
        </w:rPr>
        <w:t xml:space="preserve">Брокер имеет право расторгнуть Договор ИИС, уведомив Клиента о своем намерении посредством почтового сообщения, по факсимильной связи или путем передачи сканированной копии по электронной почте в срок не позднее, чем за 30 (тридцать) календарных дней до предполагаемой даты расторжения. </w:t>
      </w:r>
    </w:p>
    <w:p w:rsidR="00DF75AB" w:rsidRDefault="00DF75AB">
      <w:pPr>
        <w:pStyle w:val="a0"/>
        <w:rPr>
          <w:color w:val="000000"/>
        </w:rPr>
      </w:pPr>
      <w:r>
        <w:lastRenderedPageBreak/>
        <w:t xml:space="preserve">В случае, если Клиент хочет воспользоваться инвестиционным налоговым вычетом, установленным пп.3 п.1 ст. 219.1. Налогового кодекса Российской Федерации, Клиент до даты вывода ДС со счета ИИС/до даты  подписания Заявления на расторжение Договора ИИС обязан представить Брокеру справку из налогового органа, подтверждающую, что Клиент не воспользовался правом на получение налогового вычета, предусмотренного </w:t>
      </w:r>
      <w:proofErr w:type="spellStart"/>
      <w:r>
        <w:t>пп</w:t>
      </w:r>
      <w:proofErr w:type="spellEnd"/>
      <w:r>
        <w:t>.</w:t>
      </w:r>
      <w:r w:rsidR="00593883">
        <w:t xml:space="preserve"> </w:t>
      </w:r>
      <w:r>
        <w:t>2 п.1 ст. 219.1. Налогового кодекса Российской Федерации в течение срока действия Договора ИИС</w:t>
      </w:r>
      <w:r>
        <w:rPr>
          <w:color w:val="000000"/>
        </w:rPr>
        <w:t xml:space="preserve">, а также не имел дубликата Договора ИИС в течение всего срока действия Договора ИИС. </w:t>
      </w:r>
    </w:p>
    <w:p w:rsidR="00DF75AB" w:rsidRDefault="00DF75AB">
      <w:pPr>
        <w:pStyle w:val="a0"/>
        <w:rPr>
          <w:color w:val="000000"/>
        </w:rPr>
      </w:pPr>
      <w:r>
        <w:rPr>
          <w:color w:val="000000"/>
        </w:rPr>
        <w:t xml:space="preserve">При обращении Клиента к Брокеру с целью расторжения Договора ИИС3 и использования инвестиционного налогового вычета на доходы по ИИС3, установленного </w:t>
      </w:r>
      <w:proofErr w:type="spellStart"/>
      <w:r>
        <w:rPr>
          <w:color w:val="000000"/>
        </w:rPr>
        <w:t>пп</w:t>
      </w:r>
      <w:proofErr w:type="spellEnd"/>
      <w:r>
        <w:rPr>
          <w:color w:val="000000"/>
        </w:rPr>
        <w:t>. 4, п. 1, ст. 219.2 Налогового кодекса Российской Федерации, Клиент обязан предоставить Брокеру справку из налогового органа о том, что он не имел одновременно более двух других ИИС3 в течение всего срока действия, закрываемого ИИС3.</w:t>
      </w:r>
    </w:p>
    <w:p w:rsidR="00DF75AB" w:rsidRDefault="00DF75AB">
      <w:pPr>
        <w:pStyle w:val="a"/>
        <w:ind w:left="2115"/>
        <w:rPr>
          <w:rFonts w:cs="Arial"/>
          <w:color w:val="000000"/>
        </w:rPr>
      </w:pPr>
      <w:r>
        <w:rPr>
          <w:rFonts w:cs="Arial"/>
          <w:color w:val="000000"/>
        </w:rPr>
        <w:t>прочие условия</w:t>
      </w:r>
    </w:p>
    <w:p w:rsidR="00DF75AB" w:rsidRDefault="00DF75AB">
      <w:pPr>
        <w:pStyle w:val="a0"/>
        <w:ind w:left="703" w:hanging="703"/>
        <w:rPr>
          <w:rFonts w:cs="Arial"/>
          <w:color w:val="000000"/>
        </w:rPr>
      </w:pPr>
      <w:r>
        <w:rPr>
          <w:rFonts w:cs="Arial"/>
          <w:color w:val="000000"/>
        </w:rPr>
        <w:t>При прекращении действия Договора ИИС/ИИС3 все открытые на срочном рынке позиции должны быть закрыты Клиентом или исполнены. В случае, если на дату прекращения действия Договора ИИС/</w:t>
      </w:r>
      <w:r w:rsidR="00593883">
        <w:rPr>
          <w:rFonts w:cs="Arial"/>
          <w:color w:val="000000"/>
        </w:rPr>
        <w:t>ИИС3</w:t>
      </w:r>
      <w:r>
        <w:rPr>
          <w:rFonts w:cs="Arial"/>
          <w:color w:val="000000"/>
        </w:rPr>
        <w:t xml:space="preserve"> Брокер не получит от Клиента поручение на совершение сделок на срочном рынке с целью закрытия Открытых позиций, он вправе самостоятельно закрыть Открытые позиции Клиента. </w:t>
      </w:r>
    </w:p>
    <w:p w:rsidR="00DF75AB" w:rsidRDefault="00DF75AB">
      <w:pPr>
        <w:pStyle w:val="a0"/>
        <w:ind w:left="703" w:hanging="703"/>
        <w:rPr>
          <w:rFonts w:cs="Arial"/>
          <w:color w:val="000000"/>
        </w:rPr>
      </w:pPr>
      <w:r>
        <w:rPr>
          <w:rFonts w:cs="Arial"/>
          <w:color w:val="000000"/>
        </w:rPr>
        <w:t>При прекращении действия Договора ИИС/ИИС3 Клиент настоящим уполномочивает Брокера зачислить сумму денежных средств/ценных бумаг, учитываемых на ИИС/ИИС3, на Клиентский счет Клиента, не являющийся ИИС/ИИС3 и открытый в рамках другого Договора на брокерское обслуживание, заключенного между Брокером и Клиентом, в случае если Брокер не получит от Клиента в течение одного рабочего дня от даты Заявления на расторжение Договора ИИС/</w:t>
      </w:r>
      <w:r w:rsidR="00593883">
        <w:rPr>
          <w:rFonts w:cs="Arial"/>
          <w:color w:val="000000"/>
        </w:rPr>
        <w:t>ИИС3</w:t>
      </w:r>
      <w:r>
        <w:rPr>
          <w:rFonts w:cs="Arial"/>
          <w:color w:val="000000"/>
        </w:rPr>
        <w:t xml:space="preserve"> Поручение с реквизитами для вывода активов с ИИС/ИИС3.</w:t>
      </w:r>
    </w:p>
    <w:p w:rsidR="00DF75AB" w:rsidRDefault="00DF75AB">
      <w:pPr>
        <w:pStyle w:val="a0"/>
        <w:ind w:left="703" w:hanging="703"/>
        <w:rPr>
          <w:rFonts w:cs="Arial"/>
        </w:rPr>
      </w:pPr>
      <w:r>
        <w:rPr>
          <w:rFonts w:cs="Arial"/>
        </w:rPr>
        <w:t>После получения Клиентом уведомления Брокера или направления Брокеру уведомления о намерении расторгнуть Договор, Клиент обязан исполнить все свои обязательства перед Брокером по ранее совершенным Сделкам, в том числе сделок с непокрытой позицией, и иным обязательствам, предусмотренным Регламентом, в том числе оплаты расходов и выплаты Вознаграждения Брокеру в соответствии с Тарифами</w:t>
      </w:r>
      <w:r w:rsidR="00CF7CB8">
        <w:rPr>
          <w:rFonts w:cs="Arial"/>
        </w:rPr>
        <w:t xml:space="preserve"> </w:t>
      </w:r>
      <w:bookmarkStart w:id="2" w:name="_Hlk216198636"/>
      <w:r w:rsidR="00CF7CB8">
        <w:rPr>
          <w:rFonts w:cs="Arial"/>
        </w:rPr>
        <w:t xml:space="preserve">(Приложение № 9 к </w:t>
      </w:r>
      <w:hyperlink r:id="rId14" w:history="1">
        <w:r w:rsidR="00CF7CB8" w:rsidRPr="004B1E65">
          <w:rPr>
            <w:rStyle w:val="ab"/>
          </w:rPr>
          <w:t>Регламент</w:t>
        </w:r>
        <w:r w:rsidR="00CF7CB8">
          <w:rPr>
            <w:rStyle w:val="ab"/>
          </w:rPr>
          <w:t>у</w:t>
        </w:r>
      </w:hyperlink>
      <w:r w:rsidR="00B74EC1">
        <w:rPr>
          <w:rFonts w:cs="Arial"/>
        </w:rPr>
        <w:t>).</w:t>
      </w:r>
      <w:bookmarkEnd w:id="2"/>
    </w:p>
    <w:p w:rsidR="00DF75AB" w:rsidRDefault="00DF75AB">
      <w:pPr>
        <w:pStyle w:val="afe"/>
        <w:tabs>
          <w:tab w:val="clear" w:pos="4153"/>
          <w:tab w:val="clear" w:pos="8306"/>
          <w:tab w:val="left" w:pos="2805"/>
        </w:tabs>
      </w:pPr>
    </w:p>
    <w:sectPr w:rsidR="00DF75AB">
      <w:footerReference w:type="default" r:id="rId15"/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5AB" w:rsidRDefault="00DF75AB">
      <w:r>
        <w:separator/>
      </w:r>
    </w:p>
  </w:endnote>
  <w:endnote w:type="continuationSeparator" w:id="0">
    <w:p w:rsidR="00DF75AB" w:rsidRDefault="00DF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5AB" w:rsidRDefault="00DF75AB">
    <w:pPr>
      <w:pStyle w:val="aff"/>
    </w:pPr>
  </w:p>
  <w:p w:rsidR="00DF75AB" w:rsidRDefault="00DF75AB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5AB" w:rsidRDefault="00DF75AB">
      <w:r>
        <w:separator/>
      </w:r>
    </w:p>
  </w:footnote>
  <w:footnote w:type="continuationSeparator" w:id="0">
    <w:p w:rsidR="00DF75AB" w:rsidRDefault="00DF7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CDAD6FA"/>
    <w:multiLevelType w:val="hybridMultilevel"/>
    <w:tmpl w:val="7A76D5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2"/>
    <w:multiLevelType w:val="singleLevel"/>
    <w:tmpl w:val="D24891D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4FCA8302"/>
    <w:lvl w:ilvl="0">
      <w:numFmt w:val="decimal"/>
      <w:pStyle w:val="5"/>
      <w:lvlText w:val="*"/>
      <w:lvlJc w:val="left"/>
    </w:lvl>
  </w:abstractNum>
  <w:abstractNum w:abstractNumId="3" w15:restartNumberingAfterBreak="0">
    <w:nsid w:val="009627BB"/>
    <w:multiLevelType w:val="hybridMultilevel"/>
    <w:tmpl w:val="D5860B36"/>
    <w:lvl w:ilvl="0" w:tplc="9FD2C0BA">
      <w:start w:val="1"/>
      <w:numFmt w:val="bullet"/>
      <w:lvlText w:val="-"/>
      <w:lvlJc w:val="left"/>
      <w:pPr>
        <w:ind w:left="170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02593438"/>
    <w:multiLevelType w:val="hybridMultilevel"/>
    <w:tmpl w:val="EAE850B0"/>
    <w:lvl w:ilvl="0" w:tplc="7DD4C5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74EF2"/>
    <w:multiLevelType w:val="multilevel"/>
    <w:tmpl w:val="0E24E0C4"/>
    <w:lvl w:ilvl="0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794"/>
        </w:tabs>
        <w:ind w:left="179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794"/>
        </w:tabs>
        <w:ind w:left="1794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794"/>
        </w:tabs>
        <w:ind w:left="179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54"/>
        </w:tabs>
        <w:ind w:left="215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54"/>
        </w:tabs>
        <w:ind w:left="2154" w:hanging="1440"/>
      </w:pPr>
      <w:rPr>
        <w:rFonts w:hint="default"/>
        <w:b/>
      </w:rPr>
    </w:lvl>
  </w:abstractNum>
  <w:abstractNum w:abstractNumId="6" w15:restartNumberingAfterBreak="0">
    <w:nsid w:val="175406BC"/>
    <w:multiLevelType w:val="hybridMultilevel"/>
    <w:tmpl w:val="B2C9E6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7927AB9"/>
    <w:multiLevelType w:val="hybridMultilevel"/>
    <w:tmpl w:val="C2C0C64E"/>
    <w:lvl w:ilvl="0" w:tplc="B292FF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F898847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5D2139"/>
    <w:multiLevelType w:val="hybridMultilevel"/>
    <w:tmpl w:val="948A20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464F5"/>
    <w:multiLevelType w:val="multilevel"/>
    <w:tmpl w:val="B1186A2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AEC26E"/>
    <w:multiLevelType w:val="hybridMultilevel"/>
    <w:tmpl w:val="523E73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C6A17A4"/>
    <w:multiLevelType w:val="hybridMultilevel"/>
    <w:tmpl w:val="54580782"/>
    <w:lvl w:ilvl="0" w:tplc="0419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2" w15:restartNumberingAfterBreak="0">
    <w:nsid w:val="317344A2"/>
    <w:multiLevelType w:val="multilevel"/>
    <w:tmpl w:val="83CE12B4"/>
    <w:lvl w:ilvl="0">
      <w:start w:val="1"/>
      <w:numFmt w:val="decimal"/>
      <w:pStyle w:val="AvtorHead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pStyle w:val="Avtor11"/>
      <w:isLgl/>
      <w:lvlText w:val="%1.%2."/>
      <w:lvlJc w:val="left"/>
      <w:pPr>
        <w:tabs>
          <w:tab w:val="num" w:pos="1146"/>
        </w:tabs>
        <w:ind w:left="801" w:hanging="375"/>
      </w:pPr>
      <w:rPr>
        <w:rFonts w:hint="default"/>
        <w:b/>
      </w:rPr>
    </w:lvl>
    <w:lvl w:ilvl="2">
      <w:start w:val="1"/>
      <w:numFmt w:val="decimal"/>
      <w:pStyle w:val="Avtor111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06"/>
        </w:tabs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6"/>
        </w:tabs>
        <w:ind w:left="1506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6"/>
        </w:tabs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6"/>
        </w:tabs>
        <w:ind w:left="1866" w:hanging="1440"/>
      </w:pPr>
      <w:rPr>
        <w:rFonts w:hint="default"/>
        <w:b/>
      </w:rPr>
    </w:lvl>
  </w:abstractNum>
  <w:abstractNum w:abstractNumId="13" w15:restartNumberingAfterBreak="0">
    <w:nsid w:val="335C0DD0"/>
    <w:multiLevelType w:val="hybridMultilevel"/>
    <w:tmpl w:val="371EE062"/>
    <w:lvl w:ilvl="0" w:tplc="B292FF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39047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358914C3"/>
    <w:multiLevelType w:val="singleLevel"/>
    <w:tmpl w:val="04CC6420"/>
    <w:lvl w:ilvl="0">
      <w:start w:val="1"/>
      <w:numFmt w:val="decimal"/>
      <w:lvlText w:val="%1."/>
      <w:lvlJc w:val="left"/>
      <w:pPr>
        <w:tabs>
          <w:tab w:val="num" w:pos="703"/>
        </w:tabs>
        <w:ind w:left="703" w:hanging="703"/>
      </w:pPr>
      <w:rPr>
        <w:b/>
        <w:i w:val="0"/>
      </w:rPr>
    </w:lvl>
  </w:abstractNum>
  <w:abstractNum w:abstractNumId="16" w15:restartNumberingAfterBreak="0">
    <w:nsid w:val="399712C6"/>
    <w:multiLevelType w:val="hybridMultilevel"/>
    <w:tmpl w:val="F01E39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D544E"/>
    <w:multiLevelType w:val="singleLevel"/>
    <w:tmpl w:val="E318AED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09B4133"/>
    <w:multiLevelType w:val="hybridMultilevel"/>
    <w:tmpl w:val="9C167EFA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D01ED"/>
    <w:multiLevelType w:val="hybridMultilevel"/>
    <w:tmpl w:val="FB5A4B4A"/>
    <w:lvl w:ilvl="0" w:tplc="FFFFFFFF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0D1D2E"/>
    <w:multiLevelType w:val="hybridMultilevel"/>
    <w:tmpl w:val="CFB6418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F664CEC"/>
    <w:multiLevelType w:val="hybridMultilevel"/>
    <w:tmpl w:val="98847F48"/>
    <w:lvl w:ilvl="0" w:tplc="0419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54C9659C"/>
    <w:multiLevelType w:val="hybridMultilevel"/>
    <w:tmpl w:val="A3E287B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FC7010"/>
    <w:multiLevelType w:val="multilevel"/>
    <w:tmpl w:val="5ACEF8B0"/>
    <w:lvl w:ilvl="0">
      <w:start w:val="1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3"/>
        </w:tabs>
        <w:ind w:left="703" w:hanging="703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1106E0D"/>
    <w:multiLevelType w:val="hybridMultilevel"/>
    <w:tmpl w:val="4CE8CA1C"/>
    <w:lvl w:ilvl="0" w:tplc="B838EB98">
      <w:start w:val="1"/>
      <w:numFmt w:val="bullet"/>
      <w:lvlText w:val="–"/>
      <w:lvlJc w:val="left"/>
      <w:pPr>
        <w:tabs>
          <w:tab w:val="num" w:pos="4500"/>
        </w:tabs>
        <w:ind w:left="4500" w:hanging="360"/>
      </w:pPr>
      <w:rPr>
        <w:rFonts w:ascii="Arial" w:hAnsi="Arial" w:hint="default"/>
        <w:sz w:val="16"/>
      </w:rPr>
    </w:lvl>
    <w:lvl w:ilvl="1" w:tplc="4636108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18A4330"/>
    <w:multiLevelType w:val="singleLevel"/>
    <w:tmpl w:val="E318AED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25C2346"/>
    <w:multiLevelType w:val="multilevel"/>
    <w:tmpl w:val="33BAE1AC"/>
    <w:lvl w:ilvl="0">
      <w:start w:val="1"/>
      <w:numFmt w:val="decimal"/>
      <w:pStyle w:val="a"/>
      <w:isLgl/>
      <w:suff w:val="space"/>
      <w:lvlText w:val="%1."/>
      <w:lvlJc w:val="left"/>
      <w:pPr>
        <w:ind w:left="8066" w:hanging="1406"/>
      </w:pPr>
      <w:rPr>
        <w:rFonts w:hint="default"/>
        <w:b/>
      </w:rPr>
    </w:lvl>
    <w:lvl w:ilvl="1">
      <w:start w:val="1"/>
      <w:numFmt w:val="decimal"/>
      <w:pStyle w:val="a0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8" w15:restartNumberingAfterBreak="0">
    <w:nsid w:val="64A72901"/>
    <w:multiLevelType w:val="hybridMultilevel"/>
    <w:tmpl w:val="7806E7F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5A406AA"/>
    <w:multiLevelType w:val="singleLevel"/>
    <w:tmpl w:val="BD4452E0"/>
    <w:lvl w:ilvl="0">
      <w:start w:val="1"/>
      <w:numFmt w:val="bullet"/>
      <w:pStyle w:val="a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0" w15:restartNumberingAfterBreak="0">
    <w:nsid w:val="693329AD"/>
    <w:multiLevelType w:val="hybridMultilevel"/>
    <w:tmpl w:val="5A2E1384"/>
    <w:lvl w:ilvl="0" w:tplc="D504AADA">
      <w:start w:val="1"/>
      <w:numFmt w:val="bullet"/>
      <w:lvlText w:val="­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1" w:tplc="D7D4914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D96ADC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BE8BAF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32AF5F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93A1CC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440C4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DC8797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FC4BE1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100101"/>
    <w:multiLevelType w:val="multilevel"/>
    <w:tmpl w:val="4CE683A6"/>
    <w:lvl w:ilvl="0">
      <w:start w:val="11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76740EAE"/>
    <w:multiLevelType w:val="multilevel"/>
    <w:tmpl w:val="CB3C34DA"/>
    <w:lvl w:ilvl="0">
      <w:start w:val="10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6FD2334"/>
    <w:multiLevelType w:val="multilevel"/>
    <w:tmpl w:val="4CCA3D7A"/>
    <w:lvl w:ilvl="0">
      <w:start w:val="1"/>
      <w:numFmt w:val="decimal"/>
      <w:pStyle w:val="Title3"/>
      <w:lvlText w:val="%1."/>
      <w:lvlJc w:val="left"/>
      <w:pPr>
        <w:ind w:left="19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oint"/>
      <w:isLgl/>
      <w:lvlText w:val="%1.%2."/>
      <w:lvlJc w:val="left"/>
      <w:pPr>
        <w:ind w:left="9591" w:hanging="6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oint2"/>
      <w:isLgl/>
      <w:lvlText w:val="%1.%2.%3."/>
      <w:lvlJc w:val="left"/>
      <w:pPr>
        <w:ind w:left="6958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oint3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34" w15:restartNumberingAfterBreak="0">
    <w:nsid w:val="7D340215"/>
    <w:multiLevelType w:val="multilevel"/>
    <w:tmpl w:val="B87C01A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3"/>
        </w:tabs>
        <w:ind w:left="703" w:hanging="703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28"/>
  </w:num>
  <w:num w:numId="3">
    <w:abstractNumId w:val="2"/>
    <w:lvlOverride w:ilvl="0">
      <w:lvl w:ilvl="0">
        <w:start w:val="1"/>
        <w:numFmt w:val="bullet"/>
        <w:pStyle w:val="5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4">
    <w:abstractNumId w:val="22"/>
  </w:num>
  <w:num w:numId="5">
    <w:abstractNumId w:val="11"/>
  </w:num>
  <w:num w:numId="6">
    <w:abstractNumId w:val="20"/>
  </w:num>
  <w:num w:numId="7">
    <w:abstractNumId w:val="27"/>
  </w:num>
  <w:num w:numId="8">
    <w:abstractNumId w:val="1"/>
  </w:num>
  <w:num w:numId="9">
    <w:abstractNumId w:val="25"/>
  </w:num>
  <w:num w:numId="10">
    <w:abstractNumId w:val="19"/>
  </w:num>
  <w:num w:numId="11">
    <w:abstractNumId w:val="33"/>
  </w:num>
  <w:num w:numId="12">
    <w:abstractNumId w:val="18"/>
  </w:num>
  <w:num w:numId="13">
    <w:abstractNumId w:val="13"/>
  </w:num>
  <w:num w:numId="14">
    <w:abstractNumId w:val="7"/>
  </w:num>
  <w:num w:numId="15">
    <w:abstractNumId w:val="9"/>
  </w:num>
  <w:num w:numId="16">
    <w:abstractNumId w:val="30"/>
  </w:num>
  <w:num w:numId="17">
    <w:abstractNumId w:val="34"/>
  </w:num>
  <w:num w:numId="18">
    <w:abstractNumId w:val="4"/>
  </w:num>
  <w:num w:numId="19">
    <w:abstractNumId w:val="29"/>
  </w:num>
  <w:num w:numId="20">
    <w:abstractNumId w:val="27"/>
  </w:num>
  <w:num w:numId="21">
    <w:abstractNumId w:val="27"/>
  </w:num>
  <w:num w:numId="22">
    <w:abstractNumId w:val="27"/>
  </w:num>
  <w:num w:numId="23">
    <w:abstractNumId w:val="5"/>
  </w:num>
  <w:num w:numId="24">
    <w:abstractNumId w:val="24"/>
  </w:num>
  <w:num w:numId="25">
    <w:abstractNumId w:val="27"/>
  </w:num>
  <w:num w:numId="26">
    <w:abstractNumId w:val="26"/>
  </w:num>
  <w:num w:numId="27">
    <w:abstractNumId w:val="17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27"/>
  </w:num>
  <w:num w:numId="31">
    <w:abstractNumId w:val="27"/>
  </w:num>
  <w:num w:numId="32">
    <w:abstractNumId w:val="27"/>
  </w:num>
  <w:num w:numId="33">
    <w:abstractNumId w:val="27"/>
  </w:num>
  <w:num w:numId="34">
    <w:abstractNumId w:val="27"/>
  </w:num>
  <w:num w:numId="35">
    <w:abstractNumId w:val="27"/>
  </w:num>
  <w:num w:numId="36">
    <w:abstractNumId w:val="15"/>
  </w:num>
  <w:num w:numId="37">
    <w:abstractNumId w:val="27"/>
  </w:num>
  <w:num w:numId="38">
    <w:abstractNumId w:val="14"/>
  </w:num>
  <w:num w:numId="39">
    <w:abstractNumId w:val="27"/>
  </w:num>
  <w:num w:numId="40">
    <w:abstractNumId w:val="27"/>
  </w:num>
  <w:num w:numId="41">
    <w:abstractNumId w:val="10"/>
  </w:num>
  <w:num w:numId="42">
    <w:abstractNumId w:val="6"/>
  </w:num>
  <w:num w:numId="43">
    <w:abstractNumId w:val="0"/>
  </w:num>
  <w:num w:numId="44">
    <w:abstractNumId w:val="31"/>
  </w:num>
  <w:num w:numId="45">
    <w:abstractNumId w:val="27"/>
  </w:num>
  <w:num w:numId="46">
    <w:abstractNumId w:val="32"/>
  </w:num>
  <w:num w:numId="47">
    <w:abstractNumId w:val="27"/>
  </w:num>
  <w:num w:numId="48">
    <w:abstractNumId w:val="27"/>
  </w:num>
  <w:num w:numId="49">
    <w:abstractNumId w:val="27"/>
  </w:num>
  <w:num w:numId="50">
    <w:abstractNumId w:val="27"/>
  </w:num>
  <w:num w:numId="51">
    <w:abstractNumId w:val="27"/>
  </w:num>
  <w:num w:numId="52">
    <w:abstractNumId w:val="27"/>
  </w:num>
  <w:num w:numId="53">
    <w:abstractNumId w:val="27"/>
  </w:num>
  <w:num w:numId="54">
    <w:abstractNumId w:val="27"/>
  </w:num>
  <w:num w:numId="55">
    <w:abstractNumId w:val="16"/>
  </w:num>
  <w:num w:numId="56">
    <w:abstractNumId w:val="8"/>
  </w:num>
  <w:num w:numId="57">
    <w:abstractNumId w:val="21"/>
  </w:num>
  <w:num w:numId="58">
    <w:abstractNumId w:val="3"/>
  </w:num>
  <w:num w:numId="59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905"/>
    <w:rsid w:val="001833BB"/>
    <w:rsid w:val="004B1E65"/>
    <w:rsid w:val="00593883"/>
    <w:rsid w:val="009F134C"/>
    <w:rsid w:val="00B74EC1"/>
    <w:rsid w:val="00CF7CB8"/>
    <w:rsid w:val="00DE3905"/>
    <w:rsid w:val="00DF75AB"/>
    <w:rsid w:val="00E7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3649A-7AB8-4DFE-BC20-7784E75C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4">
    <w:name w:val="Normal"/>
    <w:qFormat/>
    <w:rPr>
      <w:sz w:val="24"/>
      <w:szCs w:val="24"/>
    </w:rPr>
  </w:style>
  <w:style w:type="paragraph" w:styleId="1">
    <w:name w:val="heading 1"/>
    <w:basedOn w:val="a4"/>
    <w:next w:val="a4"/>
    <w:qFormat/>
    <w:pPr>
      <w:keepNext/>
      <w:ind w:right="42" w:firstLine="708"/>
      <w:jc w:val="both"/>
      <w:outlineLvl w:val="0"/>
    </w:pPr>
    <w:rPr>
      <w:b/>
      <w:bCs/>
      <w:i/>
      <w:iCs/>
      <w:sz w:val="22"/>
    </w:rPr>
  </w:style>
  <w:style w:type="paragraph" w:styleId="20">
    <w:name w:val="heading 2"/>
    <w:basedOn w:val="a4"/>
    <w:next w:val="a4"/>
    <w:qFormat/>
    <w:pPr>
      <w:keepNext/>
      <w:ind w:right="42"/>
      <w:jc w:val="both"/>
      <w:outlineLvl w:val="1"/>
    </w:pPr>
    <w:rPr>
      <w:b/>
      <w:bCs/>
      <w:sz w:val="20"/>
    </w:rPr>
  </w:style>
  <w:style w:type="paragraph" w:styleId="30">
    <w:name w:val="heading 3"/>
    <w:basedOn w:val="a4"/>
    <w:next w:val="a4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4"/>
    <w:next w:val="a4"/>
    <w:qFormat/>
    <w:pPr>
      <w:spacing w:before="240" w:after="60"/>
      <w:outlineLvl w:val="7"/>
    </w:pPr>
    <w:rPr>
      <w:i/>
      <w:i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vtor11">
    <w:name w:val="Avtor 1.1."/>
    <w:basedOn w:val="a8"/>
    <w:pPr>
      <w:numPr>
        <w:ilvl w:val="1"/>
        <w:numId w:val="1"/>
      </w:numPr>
      <w:spacing w:after="120"/>
      <w:jc w:val="both"/>
    </w:pPr>
    <w:rPr>
      <w:color w:val="000000"/>
      <w:sz w:val="20"/>
      <w:szCs w:val="20"/>
      <w:lang w:eastAsia="en-US"/>
    </w:rPr>
  </w:style>
  <w:style w:type="paragraph" w:customStyle="1" w:styleId="AvtorHeader">
    <w:name w:val="Avtor Header"/>
    <w:basedOn w:val="a9"/>
    <w:autoRedefine/>
    <w:pPr>
      <w:numPr>
        <w:numId w:val="1"/>
      </w:numPr>
      <w:spacing w:before="120"/>
      <w:jc w:val="center"/>
    </w:pPr>
    <w:rPr>
      <w:b/>
      <w:sz w:val="22"/>
      <w:szCs w:val="20"/>
    </w:rPr>
  </w:style>
  <w:style w:type="paragraph" w:customStyle="1" w:styleId="Avtor111">
    <w:name w:val="Avtor 1.1.1"/>
    <w:basedOn w:val="Avtor11"/>
    <w:pPr>
      <w:numPr>
        <w:ilvl w:val="2"/>
      </w:numPr>
      <w:tabs>
        <w:tab w:val="clear" w:pos="1146"/>
        <w:tab w:val="num" w:pos="360"/>
      </w:tabs>
    </w:pPr>
  </w:style>
  <w:style w:type="paragraph" w:styleId="5">
    <w:name w:val="List Bullet 5"/>
    <w:basedOn w:val="a4"/>
    <w:autoRedefine/>
    <w:pPr>
      <w:numPr>
        <w:numId w:val="3"/>
      </w:numPr>
      <w:tabs>
        <w:tab w:val="num" w:pos="360"/>
      </w:tabs>
      <w:ind w:left="991" w:firstLine="0"/>
      <w:jc w:val="both"/>
    </w:pPr>
    <w:rPr>
      <w:sz w:val="20"/>
      <w:szCs w:val="20"/>
      <w:lang w:eastAsia="en-US"/>
    </w:rPr>
  </w:style>
  <w:style w:type="paragraph" w:styleId="a8">
    <w:name w:val="List"/>
    <w:basedOn w:val="a4"/>
    <w:pPr>
      <w:ind w:left="283" w:hanging="283"/>
    </w:pPr>
  </w:style>
  <w:style w:type="paragraph" w:styleId="a9">
    <w:name w:val="Body Text"/>
    <w:basedOn w:val="a4"/>
    <w:pPr>
      <w:spacing w:after="120"/>
    </w:pPr>
  </w:style>
  <w:style w:type="paragraph" w:customStyle="1" w:styleId="21">
    <w:name w:val="Основной текст с отступом 21"/>
    <w:basedOn w:val="a4"/>
    <w:pPr>
      <w:ind w:left="709" w:hanging="709"/>
      <w:jc w:val="both"/>
    </w:pPr>
    <w:rPr>
      <w:szCs w:val="20"/>
    </w:rPr>
  </w:style>
  <w:style w:type="paragraph" w:customStyle="1" w:styleId="210">
    <w:name w:val="Основной текст 21"/>
    <w:basedOn w:val="a4"/>
    <w:pPr>
      <w:ind w:left="709"/>
      <w:jc w:val="both"/>
    </w:pPr>
    <w:rPr>
      <w:szCs w:val="20"/>
    </w:rPr>
  </w:style>
  <w:style w:type="character" w:customStyle="1" w:styleId="Document">
    <w:name w:val="Document"/>
    <w:rPr>
      <w:rFonts w:ascii="Times New Roman" w:hAnsi="Times New Roman"/>
      <w:color w:val="auto"/>
    </w:rPr>
  </w:style>
  <w:style w:type="paragraph" w:styleId="22">
    <w:name w:val="Body Text 2"/>
    <w:basedOn w:val="a4"/>
    <w:pPr>
      <w:jc w:val="both"/>
    </w:pPr>
    <w:rPr>
      <w:rFonts w:ascii="Times New Roman CYR" w:hAnsi="Times New Roman CYR"/>
    </w:rPr>
  </w:style>
  <w:style w:type="paragraph" w:styleId="aa">
    <w:name w:val="Body Text Indent"/>
    <w:basedOn w:val="a4"/>
    <w:pPr>
      <w:ind w:left="708"/>
      <w:jc w:val="both"/>
    </w:pPr>
    <w:rPr>
      <w:rFonts w:ascii="Times New Roman CYR" w:hAnsi="Times New Roman CYR"/>
      <w:sz w:val="22"/>
    </w:rPr>
  </w:style>
  <w:style w:type="character" w:styleId="ab">
    <w:name w:val="Hyperlink"/>
    <w:rPr>
      <w:color w:val="0000FF"/>
      <w:u w:val="single"/>
    </w:rPr>
  </w:style>
  <w:style w:type="paragraph" w:styleId="23">
    <w:name w:val="Body Text Indent 2"/>
    <w:basedOn w:val="a4"/>
    <w:pPr>
      <w:ind w:right="42" w:firstLine="708"/>
      <w:jc w:val="both"/>
    </w:pPr>
    <w:rPr>
      <w:rFonts w:ascii="Times New Roman CYR" w:hAnsi="Times New Roman CYR"/>
      <w:sz w:val="22"/>
    </w:rPr>
  </w:style>
  <w:style w:type="paragraph" w:styleId="24">
    <w:name w:val="List Bullet 2"/>
    <w:basedOn w:val="a4"/>
    <w:autoRedefine/>
    <w:pPr>
      <w:spacing w:after="120"/>
      <w:ind w:left="426"/>
      <w:jc w:val="both"/>
    </w:pPr>
    <w:rPr>
      <w:bCs/>
      <w:sz w:val="20"/>
      <w:szCs w:val="20"/>
      <w:lang w:eastAsia="en-US"/>
    </w:rPr>
  </w:style>
  <w:style w:type="paragraph" w:styleId="31">
    <w:name w:val="Body Text 3"/>
    <w:basedOn w:val="a4"/>
    <w:pPr>
      <w:jc w:val="both"/>
    </w:pPr>
    <w:rPr>
      <w:sz w:val="20"/>
      <w:szCs w:val="20"/>
      <w:lang w:eastAsia="en-US"/>
    </w:rPr>
  </w:style>
  <w:style w:type="paragraph" w:customStyle="1" w:styleId="Noeeu">
    <w:name w:val="Noeeu"/>
    <w:pPr>
      <w:widowControl w:val="0"/>
      <w:autoSpaceDE w:val="0"/>
      <w:autoSpaceDN w:val="0"/>
    </w:pPr>
  </w:style>
  <w:style w:type="paragraph" w:customStyle="1" w:styleId="Iniiaiieoaeno">
    <w:name w:val="Iniiaiie oaeno"/>
    <w:basedOn w:val="a4"/>
    <w:pPr>
      <w:widowControl w:val="0"/>
      <w:autoSpaceDE w:val="0"/>
      <w:autoSpaceDN w:val="0"/>
      <w:spacing w:before="120" w:after="120"/>
      <w:jc w:val="both"/>
    </w:pPr>
    <w:rPr>
      <w:rFonts w:ascii="Arial" w:hAnsi="Arial" w:cs="Arial"/>
      <w:sz w:val="20"/>
      <w:szCs w:val="20"/>
    </w:rPr>
  </w:style>
  <w:style w:type="paragraph" w:styleId="ac">
    <w:name w:val="Balloon Text"/>
    <w:basedOn w:val="a4"/>
    <w:semiHidden/>
    <w:rPr>
      <w:rFonts w:ascii="Tahoma" w:hAnsi="Tahoma" w:cs="Tahoma"/>
      <w:sz w:val="16"/>
      <w:szCs w:val="16"/>
    </w:rPr>
  </w:style>
  <w:style w:type="paragraph" w:customStyle="1" w:styleId="Normal1">
    <w:name w:val="Normal1"/>
    <w:pPr>
      <w:autoSpaceDE w:val="0"/>
      <w:autoSpaceDN w:val="0"/>
      <w:jc w:val="both"/>
    </w:pPr>
    <w:rPr>
      <w:rFonts w:ascii="Arial" w:hAnsi="Arial" w:cs="Arial"/>
      <w:lang w:val="en-US" w:eastAsia="en-US"/>
    </w:rPr>
  </w:style>
  <w:style w:type="paragraph" w:styleId="ad">
    <w:name w:val="Normal (Web)"/>
    <w:basedOn w:val="a4"/>
    <w:pPr>
      <w:spacing w:before="100" w:beforeAutospacing="1" w:after="100" w:afterAutospacing="1"/>
    </w:pPr>
  </w:style>
  <w:style w:type="table" w:styleId="ae">
    <w:name w:val="Table Grid"/>
    <w:basedOn w:val="a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">
    <w:name w:val="Название"/>
    <w:basedOn w:val="a4"/>
    <w:qFormat/>
    <w:pPr>
      <w:autoSpaceDE w:val="0"/>
      <w:autoSpaceDN w:val="0"/>
      <w:jc w:val="center"/>
    </w:pPr>
    <w:rPr>
      <w:rFonts w:ascii="Arial" w:hAnsi="Arial" w:cs="Arial"/>
      <w:b/>
      <w:bCs/>
    </w:rPr>
  </w:style>
  <w:style w:type="paragraph" w:customStyle="1" w:styleId="a2">
    <w:name w:val="Подподпункт договора"/>
    <w:basedOn w:val="a1"/>
    <w:pPr>
      <w:numPr>
        <w:ilvl w:val="3"/>
      </w:numPr>
    </w:pPr>
  </w:style>
  <w:style w:type="paragraph" w:customStyle="1" w:styleId="a0">
    <w:name w:val="Пункт договора"/>
    <w:basedOn w:val="a4"/>
    <w:link w:val="af0"/>
    <w:pPr>
      <w:widowControl w:val="0"/>
      <w:numPr>
        <w:ilvl w:val="1"/>
        <w:numId w:val="7"/>
      </w:numPr>
      <w:jc w:val="both"/>
    </w:pPr>
    <w:rPr>
      <w:rFonts w:ascii="Arial" w:hAnsi="Arial"/>
      <w:sz w:val="20"/>
      <w:szCs w:val="20"/>
    </w:rPr>
  </w:style>
  <w:style w:type="paragraph" w:customStyle="1" w:styleId="a">
    <w:name w:val="Раздел договора"/>
    <w:basedOn w:val="a4"/>
    <w:next w:val="a0"/>
    <w:pPr>
      <w:keepNext/>
      <w:keepLines/>
      <w:widowControl w:val="0"/>
      <w:numPr>
        <w:numId w:val="7"/>
      </w:numPr>
      <w:spacing w:before="240" w:after="200"/>
    </w:pPr>
    <w:rPr>
      <w:rFonts w:ascii="Arial" w:hAnsi="Arial"/>
      <w:b/>
      <w:caps/>
      <w:sz w:val="20"/>
      <w:szCs w:val="20"/>
    </w:rPr>
  </w:style>
  <w:style w:type="paragraph" w:customStyle="1" w:styleId="a1">
    <w:name w:val="Подпункт договора"/>
    <w:basedOn w:val="a0"/>
    <w:pPr>
      <w:widowControl/>
      <w:numPr>
        <w:ilvl w:val="2"/>
      </w:numPr>
    </w:pPr>
  </w:style>
  <w:style w:type="character" w:customStyle="1" w:styleId="af0">
    <w:name w:val="Пункт договора Знак Знак"/>
    <w:link w:val="a0"/>
    <w:rPr>
      <w:rFonts w:ascii="Arial" w:hAnsi="Arial"/>
      <w:lang w:val="ru-RU" w:eastAsia="ru-RU" w:bidi="ar-SA"/>
    </w:rPr>
  </w:style>
  <w:style w:type="paragraph" w:styleId="3">
    <w:name w:val="List Bullet 3"/>
    <w:basedOn w:val="a4"/>
    <w:pPr>
      <w:numPr>
        <w:numId w:val="8"/>
      </w:numPr>
    </w:pPr>
  </w:style>
  <w:style w:type="paragraph" w:customStyle="1" w:styleId="af1">
    <w:name w:val="курсив в таблице"/>
    <w:basedOn w:val="af2"/>
    <w:link w:val="af3"/>
    <w:pPr>
      <w:jc w:val="center"/>
    </w:pPr>
    <w:rPr>
      <w:i/>
      <w:sz w:val="12"/>
    </w:rPr>
  </w:style>
  <w:style w:type="paragraph" w:customStyle="1" w:styleId="af2">
    <w:name w:val="Текстовый"/>
    <w:link w:val="af4"/>
    <w:pPr>
      <w:widowControl w:val="0"/>
      <w:jc w:val="both"/>
    </w:pPr>
    <w:rPr>
      <w:rFonts w:ascii="Arial" w:hAnsi="Arial"/>
    </w:rPr>
  </w:style>
  <w:style w:type="character" w:styleId="af5">
    <w:name w:val="footnote reference"/>
    <w:semiHidden/>
    <w:rPr>
      <w:vertAlign w:val="superscript"/>
    </w:rPr>
  </w:style>
  <w:style w:type="character" w:styleId="af6">
    <w:name w:val="annotation reference"/>
    <w:semiHidden/>
    <w:rPr>
      <w:sz w:val="16"/>
      <w:szCs w:val="16"/>
    </w:rPr>
  </w:style>
  <w:style w:type="paragraph" w:styleId="af7">
    <w:name w:val="annotation text"/>
    <w:basedOn w:val="a4"/>
    <w:semiHidden/>
    <w:pPr>
      <w:tabs>
        <w:tab w:val="left" w:pos="170"/>
      </w:tabs>
      <w:autoSpaceDE w:val="0"/>
      <w:autoSpaceDN w:val="0"/>
      <w:spacing w:before="120"/>
      <w:ind w:firstLine="567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Title3">
    <w:name w:val="Title 3"/>
    <w:basedOn w:val="a4"/>
    <w:qFormat/>
    <w:pPr>
      <w:keepNext/>
      <w:widowControl w:val="0"/>
      <w:numPr>
        <w:numId w:val="11"/>
      </w:numPr>
      <w:tabs>
        <w:tab w:val="left" w:pos="851"/>
      </w:tabs>
      <w:adjustRightInd w:val="0"/>
      <w:spacing w:before="360"/>
      <w:ind w:left="851" w:hanging="851"/>
      <w:jc w:val="both"/>
      <w:textAlignment w:val="baseline"/>
    </w:pPr>
    <w:rPr>
      <w:b/>
      <w:lang w:eastAsia="en-US"/>
    </w:rPr>
  </w:style>
  <w:style w:type="paragraph" w:customStyle="1" w:styleId="Point">
    <w:name w:val="Point"/>
    <w:basedOn w:val="Title3"/>
    <w:qFormat/>
    <w:pPr>
      <w:keepNext w:val="0"/>
      <w:numPr>
        <w:ilvl w:val="1"/>
      </w:numPr>
      <w:tabs>
        <w:tab w:val="clear" w:pos="851"/>
      </w:tabs>
      <w:spacing w:before="240"/>
    </w:pPr>
    <w:rPr>
      <w:b w:val="0"/>
      <w:bCs/>
    </w:rPr>
  </w:style>
  <w:style w:type="paragraph" w:customStyle="1" w:styleId="Point2">
    <w:name w:val="Point 2"/>
    <w:basedOn w:val="Point"/>
    <w:qFormat/>
    <w:pPr>
      <w:numPr>
        <w:ilvl w:val="2"/>
      </w:numPr>
      <w:tabs>
        <w:tab w:val="left" w:pos="851"/>
      </w:tabs>
      <w:spacing w:before="120"/>
      <w:ind w:left="851" w:hanging="851"/>
    </w:pPr>
    <w:rPr>
      <w:rFonts w:cs="Arial"/>
    </w:rPr>
  </w:style>
  <w:style w:type="paragraph" w:customStyle="1" w:styleId="Point3">
    <w:name w:val="Point 3"/>
    <w:basedOn w:val="a4"/>
    <w:qFormat/>
    <w:pPr>
      <w:widowControl w:val="0"/>
      <w:numPr>
        <w:ilvl w:val="3"/>
        <w:numId w:val="11"/>
      </w:numPr>
      <w:tabs>
        <w:tab w:val="left" w:pos="993"/>
        <w:tab w:val="left" w:pos="1418"/>
      </w:tabs>
      <w:adjustRightInd w:val="0"/>
      <w:spacing w:before="60"/>
      <w:ind w:left="993" w:hanging="993"/>
      <w:jc w:val="both"/>
      <w:textAlignment w:val="baseline"/>
    </w:pPr>
    <w:rPr>
      <w:rFonts w:cs="Arial"/>
      <w:szCs w:val="20"/>
      <w:lang w:eastAsia="en-US"/>
    </w:rPr>
  </w:style>
  <w:style w:type="character" w:customStyle="1" w:styleId="af4">
    <w:name w:val="Текстовый Знак"/>
    <w:link w:val="af2"/>
    <w:rPr>
      <w:rFonts w:ascii="Arial" w:hAnsi="Arial"/>
      <w:lang w:val="ru-RU" w:eastAsia="ru-RU" w:bidi="ar-SA"/>
    </w:rPr>
  </w:style>
  <w:style w:type="character" w:customStyle="1" w:styleId="af3">
    <w:name w:val="курсив в таблице Знак"/>
    <w:link w:val="af1"/>
    <w:rPr>
      <w:rFonts w:ascii="Arial" w:hAnsi="Arial"/>
      <w:i/>
      <w:sz w:val="12"/>
      <w:lang w:val="ru-RU" w:eastAsia="ru-RU" w:bidi="ar-SA"/>
    </w:rPr>
  </w:style>
  <w:style w:type="paragraph" w:customStyle="1" w:styleId="Normal110">
    <w:name w:val="Стиль Normal1 + 10 пт полужирный Черный подчеркивание Знак Знак Знак"/>
    <w:basedOn w:val="a4"/>
    <w:link w:val="Normal1100"/>
    <w:pPr>
      <w:ind w:left="1134"/>
    </w:pPr>
    <w:rPr>
      <w:b/>
      <w:bCs/>
      <w:color w:val="000000"/>
      <w:sz w:val="20"/>
      <w:szCs w:val="20"/>
      <w:u w:val="single"/>
    </w:rPr>
  </w:style>
  <w:style w:type="character" w:customStyle="1" w:styleId="Normal1100">
    <w:name w:val="Стиль Normal1 + 10 пт полужирный Черный подчеркивание Знак Знак Знак Знак"/>
    <w:link w:val="Normal110"/>
    <w:rPr>
      <w:b/>
      <w:bCs/>
      <w:color w:val="000000"/>
      <w:u w:val="single"/>
      <w:lang w:val="ru-RU" w:eastAsia="ru-RU" w:bidi="ar-SA"/>
    </w:rPr>
  </w:style>
  <w:style w:type="paragraph" w:styleId="af8">
    <w:name w:val="annotation subject"/>
    <w:basedOn w:val="af7"/>
    <w:next w:val="af7"/>
    <w:semiHidden/>
    <w:pPr>
      <w:tabs>
        <w:tab w:val="clear" w:pos="170"/>
      </w:tabs>
      <w:autoSpaceDE/>
      <w:autoSpaceDN/>
      <w:spacing w:before="0"/>
      <w:ind w:firstLine="0"/>
      <w:jc w:val="left"/>
    </w:pPr>
    <w:rPr>
      <w:rFonts w:ascii="Times New Roman" w:hAnsi="Times New Roman" w:cs="Times New Roman"/>
      <w:b/>
      <w:bCs/>
    </w:rPr>
  </w:style>
  <w:style w:type="paragraph" w:customStyle="1" w:styleId="af9">
    <w:name w:val="об"/>
    <w:basedOn w:val="a4"/>
    <w:pPr>
      <w:ind w:left="737"/>
      <w:jc w:val="both"/>
    </w:pPr>
    <w:rPr>
      <w:sz w:val="22"/>
    </w:rPr>
  </w:style>
  <w:style w:type="paragraph" w:customStyle="1" w:styleId="afa">
    <w:name w:val="марк"/>
    <w:basedOn w:val="a3"/>
    <w:link w:val="afb"/>
    <w:pPr>
      <w:tabs>
        <w:tab w:val="clear" w:pos="360"/>
        <w:tab w:val="right" w:pos="567"/>
        <w:tab w:val="num" w:pos="1440"/>
      </w:tabs>
      <w:ind w:left="1440"/>
      <w:jc w:val="both"/>
    </w:pPr>
    <w:rPr>
      <w:sz w:val="20"/>
      <w:szCs w:val="20"/>
    </w:rPr>
  </w:style>
  <w:style w:type="paragraph" w:styleId="a3">
    <w:name w:val="List Bullet"/>
    <w:basedOn w:val="a4"/>
    <w:pPr>
      <w:numPr>
        <w:numId w:val="19"/>
      </w:numPr>
      <w:tabs>
        <w:tab w:val="clear" w:pos="1440"/>
        <w:tab w:val="num" w:pos="360"/>
      </w:tabs>
      <w:ind w:left="360"/>
    </w:pPr>
  </w:style>
  <w:style w:type="character" w:customStyle="1" w:styleId="afb">
    <w:name w:val="марк Знак"/>
    <w:link w:val="afa"/>
    <w:rPr>
      <w:lang w:val="ru-RU" w:eastAsia="ru-RU" w:bidi="ar-SA"/>
    </w:rPr>
  </w:style>
  <w:style w:type="paragraph" w:customStyle="1" w:styleId="2">
    <w:name w:val="Уровень2"/>
    <w:basedOn w:val="a4"/>
    <w:pPr>
      <w:numPr>
        <w:ilvl w:val="1"/>
        <w:numId w:val="23"/>
      </w:numPr>
      <w:spacing w:before="60" w:after="60"/>
      <w:jc w:val="both"/>
    </w:pPr>
    <w:rPr>
      <w:sz w:val="20"/>
      <w:szCs w:val="20"/>
    </w:rPr>
  </w:style>
  <w:style w:type="paragraph" w:customStyle="1" w:styleId="afc">
    <w:name w:val="Разновидность документа"/>
    <w:basedOn w:val="a4"/>
    <w:pPr>
      <w:widowControl w:val="0"/>
      <w:spacing w:after="40"/>
      <w:jc w:val="center"/>
    </w:pPr>
    <w:rPr>
      <w:rFonts w:ascii="Arial" w:hAnsi="Arial"/>
      <w:b/>
      <w:szCs w:val="20"/>
    </w:rPr>
  </w:style>
  <w:style w:type="paragraph" w:styleId="afd">
    <w:name w:val="footnote text"/>
    <w:basedOn w:val="a4"/>
    <w:semiHidden/>
    <w:pPr>
      <w:jc w:val="both"/>
    </w:pPr>
    <w:rPr>
      <w:rFonts w:ascii="Arial" w:hAnsi="Arial"/>
      <w:sz w:val="20"/>
      <w:szCs w:val="20"/>
    </w:rPr>
  </w:style>
  <w:style w:type="paragraph" w:styleId="afe">
    <w:name w:val="header"/>
    <w:basedOn w:val="a4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Iauiue1">
    <w:name w:val="Iau?iue1"/>
    <w:pPr>
      <w:widowControl w:val="0"/>
      <w:ind w:firstLine="567"/>
      <w:jc w:val="both"/>
    </w:pPr>
    <w:rPr>
      <w:sz w:val="22"/>
    </w:rPr>
  </w:style>
  <w:style w:type="paragraph" w:styleId="aff">
    <w:name w:val="footer"/>
    <w:basedOn w:val="a4"/>
    <w:link w:val="aff0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aff1">
    <w:name w:val="текст в таблице"/>
    <w:basedOn w:val="af2"/>
    <w:pPr>
      <w:jc w:val="left"/>
    </w:pPr>
    <w:rPr>
      <w:caps/>
      <w:sz w:val="12"/>
    </w:rPr>
  </w:style>
  <w:style w:type="paragraph" w:customStyle="1" w:styleId="aff2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ff3">
    <w:name w:val="над таблицей"/>
    <w:basedOn w:val="af2"/>
    <w:pPr>
      <w:spacing w:after="20"/>
      <w:jc w:val="left"/>
    </w:pPr>
    <w:rPr>
      <w:b/>
      <w:caps/>
      <w:sz w:val="12"/>
    </w:rPr>
  </w:style>
  <w:style w:type="paragraph" w:customStyle="1" w:styleId="aff4">
    <w:name w:val="Примечание"/>
    <w:basedOn w:val="a4"/>
    <w:pPr>
      <w:ind w:firstLine="567"/>
    </w:pPr>
    <w:rPr>
      <w:i/>
      <w:iCs/>
      <w:sz w:val="16"/>
      <w:szCs w:val="16"/>
    </w:rPr>
  </w:style>
  <w:style w:type="paragraph" w:styleId="aff5">
    <w:name w:val="Body Text First Indent"/>
    <w:basedOn w:val="a9"/>
    <w:pPr>
      <w:ind w:firstLine="210"/>
    </w:pPr>
  </w:style>
  <w:style w:type="character" w:styleId="aff6">
    <w:name w:val="page number"/>
    <w:rPr>
      <w:sz w:val="20"/>
    </w:rPr>
  </w:style>
  <w:style w:type="paragraph" w:customStyle="1" w:styleId="aff7">
    <w:name w:val="Марк список"/>
    <w:basedOn w:val="a3"/>
    <w:pPr>
      <w:keepLines/>
      <w:numPr>
        <w:numId w:val="0"/>
      </w:numPr>
      <w:tabs>
        <w:tab w:val="num" w:pos="360"/>
        <w:tab w:val="left" w:pos="567"/>
        <w:tab w:val="left" w:pos="794"/>
      </w:tabs>
      <w:ind w:left="360" w:hanging="283"/>
      <w:jc w:val="both"/>
    </w:pPr>
    <w:rPr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aff0">
    <w:name w:val="Нижний колонтитул Знак"/>
    <w:link w:val="aff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oybrok.ru/dokumenty" TargetMode="External"/><Relationship Id="rId13" Type="http://schemas.openxmlformats.org/officeDocument/2006/relationships/hyperlink" Target="https://tvoybrok.ru/dokumen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voybrok.ru/dokumenty" TargetMode="External"/><Relationship Id="rId12" Type="http://schemas.openxmlformats.org/officeDocument/2006/relationships/hyperlink" Target="https://tvoybrok.ru/dokument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voybrok.ru/dokument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tvoybrok.ru/dokumen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voybrok.ru/dokumenty" TargetMode="External"/><Relationship Id="rId14" Type="http://schemas.openxmlformats.org/officeDocument/2006/relationships/hyperlink" Target="https://tvoybrok.ru/dokumen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1816</Words>
  <Characters>12230</Characters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LinksUpToDate>false</LinksUpToDate>
  <CharactersWithSpaces>14018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2002-05-06T11:37:00Z</cp:lastPrinted>
  <dcterms:created xsi:type="dcterms:W3CDTF">2025-12-05T07:39:00Z</dcterms:created>
  <dcterms:modified xsi:type="dcterms:W3CDTF">2026-07-10T14:25:00Z</dcterms:modified>
</cp:coreProperties>
</file>