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4384A" w14:textId="77777777" w:rsidR="00B12CCB" w:rsidRDefault="00B12CCB">
      <w:pPr>
        <w:pStyle w:val="ad"/>
        <w:rPr>
          <w:rFonts w:cs="Arial"/>
          <w:sz w:val="20"/>
        </w:rPr>
      </w:pPr>
    </w:p>
    <w:p w14:paraId="67B03889" w14:textId="77777777" w:rsidR="00B12CCB" w:rsidRPr="00753F06" w:rsidRDefault="00B12CCB">
      <w:pPr>
        <w:pStyle w:val="ae"/>
        <w:rPr>
          <w:rFonts w:cs="Arial"/>
          <w:caps/>
          <w:sz w:val="22"/>
        </w:rPr>
      </w:pPr>
      <w:r w:rsidRPr="00753F06">
        <w:rPr>
          <w:rFonts w:cs="Arial"/>
          <w:caps/>
          <w:sz w:val="22"/>
        </w:rPr>
        <w:t>УСЛОВИЯ ОКАЗАНИЯ УСЛУГ ПО ИНВЕСТИЦИОННОМУ КОНСУЛЬТИРОВАНИЮ</w:t>
      </w:r>
    </w:p>
    <w:p w14:paraId="6E75CED0" w14:textId="77777777" w:rsidR="00B12CCB" w:rsidRDefault="00B12CCB">
      <w:pPr>
        <w:pStyle w:val="a0"/>
        <w:ind w:firstLine="4"/>
        <w:rPr>
          <w:rFonts w:cs="Arial"/>
        </w:rPr>
      </w:pPr>
      <w:r>
        <w:rPr>
          <w:rFonts w:cs="Arial"/>
        </w:rPr>
        <w:t>заключение ДОГОВОРА. общие положения</w:t>
      </w:r>
    </w:p>
    <w:p w14:paraId="388BE2BF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bookmarkStart w:id="0" w:name="_Ref216081602"/>
      <w:r>
        <w:rPr>
          <w:rFonts w:cs="Arial"/>
        </w:rPr>
        <w:t>Настоящие Условия оказания услуг по инвестиционному консультированию (далее – Условия) являются приложением к Регламенту оказания брокерских услуг на финансовых рынках ООО «Твой Брокер» (далее – Регламент) и содержат существенные условия договора об инвестиционном консультировании, который заключается между Брокером и Клиентом (далее – Договор) посредством направления Брокеру в порядке, предусмотренном Регламентом, Заявления об изменении условий обслуживания, форма которого представлена в Приложение №3 к Регламенту, с указанием на подключение услуги инвестиционного консультирования, свидетельствующего о полном и безоговорочном присоединения Клиента к настоящим Условиям в соответствии со статьей 428 Гражданского кодекса Российской Федерации. Соответствующее заявление в совокупности с настоящими Условиями составляют Договор. Договор может быть заключен только при условии присоединения Клиента к Регламенту.</w:t>
      </w:r>
      <w:bookmarkEnd w:id="0"/>
    </w:p>
    <w:p w14:paraId="6986837D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r>
        <w:rPr>
          <w:rFonts w:cs="Arial"/>
        </w:rPr>
        <w:t>Текст настоящих Условий размещается на сайте Брокера, указанном в Регламенте.</w:t>
      </w:r>
    </w:p>
    <w:p w14:paraId="686F44E6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r>
        <w:rPr>
          <w:rFonts w:cs="Arial"/>
        </w:rPr>
        <w:t>Договор считается заключенным с даты получения Клиентом от Брокера уведомления о приеме Брокером заявления, указанного в пункте 1.1 настоящих Условий, направленного</w:t>
      </w:r>
      <w:r>
        <w:t xml:space="preserve"> посредством электронной почты, в соответствии с п.1.9. настоящих Условий</w:t>
      </w:r>
      <w:r>
        <w:rPr>
          <w:rStyle w:val="aff"/>
        </w:rPr>
        <w:t>.</w:t>
      </w:r>
    </w:p>
    <w:p w14:paraId="0FB31A60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r>
        <w:rPr>
          <w:rFonts w:cs="Arial"/>
        </w:rPr>
        <w:t>Договор действует в течение неопределенного времени – до момента его прекращения в соответствии с положениями настоящих Условий, Регламента и (или) действующего законодательства Российской Федерации.</w:t>
      </w:r>
    </w:p>
    <w:p w14:paraId="6507A126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r>
        <w:rPr>
          <w:rFonts w:cs="Arial"/>
        </w:rPr>
        <w:t>Предметом Договора являются взаимоотношения между Брокером и Клиентом, действующим от своего имени, в своих интересах и за свой счет, при оказании Брокером Клиенту услуг по инвестиционному консультированию (далее – Услуги) в отношении сделок с иностранной валютой, ценных бумаг, сделок с ними и (или) заключения договоров, являющихся производными финансовыми инструментами, путем предоставления индивидуальных инвестиционных рекомендаций в соответствии с инвестиционным профилем Клиента.</w:t>
      </w:r>
    </w:p>
    <w:p w14:paraId="70BE2B8F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r>
        <w:rPr>
          <w:rFonts w:cs="Arial"/>
        </w:rPr>
        <w:t>В рамках оказания Услуг Брокер не оказывает юридические, налоговые, финансовые, бухгалтерские услуги, услуги по оценке имущества, услуги по доверительному управлению имуществом или иные специализированные услуги, прямо не указанные в настоящих Условиях.</w:t>
      </w:r>
    </w:p>
    <w:p w14:paraId="4A99F759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r>
        <w:rPr>
          <w:rFonts w:cs="Arial"/>
        </w:rPr>
        <w:t>В настоящих Условиях, если не указано иное, используются термины в значении, установленном для них в Регламенте, в действующем законодательстве Российской Федерации, включая акты Банка России, а также в Базовом стандарте совершения инвестиционным советником операций на финансовом рынке, утвержденном Банком России (Протокол № КФНП-40 от 21.11.2019).</w:t>
      </w:r>
    </w:p>
    <w:p w14:paraId="0FB2E87A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r>
        <w:rPr>
          <w:rFonts w:cs="Arial"/>
        </w:rPr>
        <w:t>Брокер настоящим уведомляет Клиента, что Брокер совмещает свою деятельность в качестве инвестиционного советника с деятельностью:</w:t>
      </w:r>
    </w:p>
    <w:p w14:paraId="5D8D4D4F" w14:textId="77777777" w:rsidR="00B12CCB" w:rsidRDefault="00584748" w:rsidP="003650BD">
      <w:pPr>
        <w:pStyle w:val="a8"/>
        <w:numPr>
          <w:ilvl w:val="2"/>
          <w:numId w:val="9"/>
        </w:numPr>
        <w:tabs>
          <w:tab w:val="clear" w:pos="1072"/>
          <w:tab w:val="left" w:pos="10121"/>
        </w:tabs>
        <w:ind w:left="1134" w:hanging="283"/>
        <w:rPr>
          <w:rFonts w:cs="Arial"/>
        </w:rPr>
      </w:pPr>
      <w:r>
        <w:rPr>
          <w:rFonts w:cs="Arial"/>
        </w:rPr>
        <w:t>Б</w:t>
      </w:r>
      <w:r w:rsidR="00B12CCB">
        <w:rPr>
          <w:rFonts w:cs="Arial"/>
        </w:rPr>
        <w:t>рокера</w:t>
      </w:r>
      <w:r>
        <w:rPr>
          <w:rFonts w:cs="Arial"/>
        </w:rPr>
        <w:t>,</w:t>
      </w:r>
      <w:r w:rsidR="00B12CCB">
        <w:rPr>
          <w:rFonts w:cs="Arial"/>
        </w:rPr>
        <w:t xml:space="preserve"> согласно лицензии</w:t>
      </w:r>
      <w:r>
        <w:rPr>
          <w:rFonts w:cs="Arial"/>
        </w:rPr>
        <w:t>,</w:t>
      </w:r>
      <w:r w:rsidR="00B12CCB">
        <w:rPr>
          <w:rFonts w:cs="Arial"/>
        </w:rPr>
        <w:t xml:space="preserve"> на осуществление брокерской деятельности;</w:t>
      </w:r>
    </w:p>
    <w:p w14:paraId="10DBCA5C" w14:textId="77777777" w:rsidR="00B12CCB" w:rsidRDefault="00584748" w:rsidP="003650BD">
      <w:pPr>
        <w:pStyle w:val="a8"/>
        <w:numPr>
          <w:ilvl w:val="2"/>
          <w:numId w:val="9"/>
        </w:numPr>
        <w:tabs>
          <w:tab w:val="clear" w:pos="1072"/>
          <w:tab w:val="left" w:pos="10121"/>
        </w:tabs>
        <w:ind w:left="1134" w:hanging="283"/>
        <w:rPr>
          <w:rFonts w:cs="Arial"/>
        </w:rPr>
      </w:pPr>
      <w:r>
        <w:rPr>
          <w:rFonts w:cs="Arial"/>
        </w:rPr>
        <w:t>Д</w:t>
      </w:r>
      <w:r w:rsidR="00B12CCB">
        <w:rPr>
          <w:rFonts w:cs="Arial"/>
        </w:rPr>
        <w:t>епозитария</w:t>
      </w:r>
      <w:r>
        <w:rPr>
          <w:rFonts w:cs="Arial"/>
        </w:rPr>
        <w:t>,</w:t>
      </w:r>
      <w:r w:rsidR="00B12CCB">
        <w:rPr>
          <w:rFonts w:cs="Arial"/>
        </w:rPr>
        <w:t xml:space="preserve"> согласно лицензии</w:t>
      </w:r>
      <w:r>
        <w:rPr>
          <w:rFonts w:cs="Arial"/>
        </w:rPr>
        <w:t>,</w:t>
      </w:r>
      <w:r w:rsidR="00B12CCB">
        <w:rPr>
          <w:rFonts w:cs="Arial"/>
        </w:rPr>
        <w:t xml:space="preserve"> на осуществление депозитарной деятельности;</w:t>
      </w:r>
    </w:p>
    <w:p w14:paraId="5AEEEC29" w14:textId="77777777" w:rsidR="00B12CCB" w:rsidRDefault="00584748" w:rsidP="003650BD">
      <w:pPr>
        <w:pStyle w:val="a8"/>
        <w:numPr>
          <w:ilvl w:val="2"/>
          <w:numId w:val="9"/>
        </w:numPr>
        <w:tabs>
          <w:tab w:val="clear" w:pos="1072"/>
          <w:tab w:val="left" w:pos="10121"/>
        </w:tabs>
        <w:ind w:left="1134" w:hanging="283"/>
        <w:rPr>
          <w:rFonts w:cs="Arial"/>
        </w:rPr>
      </w:pPr>
      <w:r>
        <w:rPr>
          <w:rFonts w:cs="Arial"/>
        </w:rPr>
        <w:t>Д</w:t>
      </w:r>
      <w:r w:rsidR="00B12CCB">
        <w:rPr>
          <w:rFonts w:cs="Arial"/>
        </w:rPr>
        <w:t>илера</w:t>
      </w:r>
      <w:r>
        <w:rPr>
          <w:rFonts w:cs="Arial"/>
        </w:rPr>
        <w:t>,</w:t>
      </w:r>
      <w:r w:rsidR="00B12CCB">
        <w:rPr>
          <w:rFonts w:cs="Arial"/>
        </w:rPr>
        <w:t xml:space="preserve"> согласно лицензии</w:t>
      </w:r>
      <w:r>
        <w:rPr>
          <w:rFonts w:cs="Arial"/>
        </w:rPr>
        <w:t>,</w:t>
      </w:r>
      <w:r w:rsidR="00B12CCB">
        <w:rPr>
          <w:rFonts w:cs="Arial"/>
        </w:rPr>
        <w:t xml:space="preserve"> на осуществление дилерской деятельности.</w:t>
      </w:r>
    </w:p>
    <w:p w14:paraId="1AE6B857" w14:textId="77777777" w:rsidR="00B12CCB" w:rsidRDefault="00B12CCB">
      <w:pPr>
        <w:pStyle w:val="a8"/>
        <w:tabs>
          <w:tab w:val="left" w:pos="10121"/>
        </w:tabs>
        <w:ind w:left="792"/>
        <w:rPr>
          <w:rFonts w:cs="Arial"/>
        </w:rPr>
      </w:pPr>
      <w:r>
        <w:rPr>
          <w:rFonts w:cs="Arial"/>
        </w:rPr>
        <w:t xml:space="preserve">В связи с совмещением Брокером своей деятельности с иными видами профессиональной деятельности на рынке ценных бумаг существует риск возникновения конфликта интересов между Клиентом и Брокером. Указанная информация размещена в разделе </w:t>
      </w:r>
      <w:r w:rsidR="00584748">
        <w:rPr>
          <w:rFonts w:cs="Arial"/>
        </w:rPr>
        <w:t>57</w:t>
      </w:r>
      <w:r>
        <w:rPr>
          <w:rFonts w:cs="Arial"/>
        </w:rPr>
        <w:t xml:space="preserve"> Регламента.</w:t>
      </w:r>
    </w:p>
    <w:p w14:paraId="203A941C" w14:textId="77777777" w:rsidR="00B12CCB" w:rsidRDefault="00B12CCB">
      <w:pPr>
        <w:pStyle w:val="a8"/>
        <w:numPr>
          <w:ilvl w:val="1"/>
          <w:numId w:val="7"/>
        </w:numPr>
        <w:tabs>
          <w:tab w:val="left" w:pos="10121"/>
        </w:tabs>
        <w:ind w:hanging="792"/>
        <w:rPr>
          <w:rFonts w:cs="Arial"/>
        </w:rPr>
      </w:pPr>
      <w:bookmarkStart w:id="1" w:name="_Ref216081616"/>
      <w:r>
        <w:rPr>
          <w:rFonts w:cs="Arial"/>
        </w:rPr>
        <w:t>Если настоящими Условиями допускается предоставление сторонами Договора каких-либо документов посредством электронной почты, то:</w:t>
      </w:r>
      <w:bookmarkEnd w:id="1"/>
    </w:p>
    <w:p w14:paraId="0250B9FC" w14:textId="77777777" w:rsidR="00B12CCB" w:rsidRDefault="00B12CCB" w:rsidP="003650BD">
      <w:pPr>
        <w:pStyle w:val="a8"/>
        <w:numPr>
          <w:ilvl w:val="2"/>
          <w:numId w:val="7"/>
        </w:numPr>
        <w:tabs>
          <w:tab w:val="clear" w:pos="1072"/>
          <w:tab w:val="left" w:pos="1560"/>
        </w:tabs>
        <w:ind w:left="1560" w:hanging="709"/>
        <w:rPr>
          <w:rFonts w:cs="Arial"/>
        </w:rPr>
      </w:pPr>
      <w:r>
        <w:rPr>
          <w:rFonts w:cs="Arial"/>
        </w:rPr>
        <w:t>документ считается подписанным простой электронной подписью Клиента, если его электронный образ направлен Брокеру с адреса электронной почты, указанного в Анкете Клиента при присоединении к Регламенту, и содержит имя и фамилию Клиента. Клиент обязуется соблюдать конфиденциальность ключей своей простой электронной подписи, которыми являются логин и пароль для доступа к почтовому сервису.</w:t>
      </w:r>
    </w:p>
    <w:p w14:paraId="6DFBBAC8" w14:textId="77777777" w:rsidR="00B12CCB" w:rsidRPr="00584748" w:rsidRDefault="00B12CCB" w:rsidP="003650BD">
      <w:pPr>
        <w:pStyle w:val="a8"/>
        <w:numPr>
          <w:ilvl w:val="2"/>
          <w:numId w:val="7"/>
        </w:numPr>
        <w:tabs>
          <w:tab w:val="clear" w:pos="1072"/>
          <w:tab w:val="num" w:pos="1560"/>
        </w:tabs>
        <w:ind w:left="1560" w:hanging="709"/>
        <w:rPr>
          <w:rFonts w:cs="Arial"/>
        </w:rPr>
      </w:pPr>
      <w:r w:rsidRPr="00584748">
        <w:rPr>
          <w:rFonts w:cs="Arial"/>
        </w:rPr>
        <w:t xml:space="preserve">документ считается подписанным простой электронной подписью Брокера, если его электронный образ направлен Клиенту с адреса электронной почты </w:t>
      </w:r>
      <w:hyperlink r:id="rId8" w:history="1">
        <w:r w:rsidR="003650BD" w:rsidRPr="00C2377B">
          <w:rPr>
            <w:rStyle w:val="afb"/>
            <w:rFonts w:cs="Arial"/>
            <w:lang w:val="en-US"/>
          </w:rPr>
          <w:t>advice</w:t>
        </w:r>
        <w:r w:rsidR="003650BD" w:rsidRPr="00C2377B">
          <w:rPr>
            <w:rStyle w:val="afb"/>
            <w:rFonts w:cs="Arial"/>
          </w:rPr>
          <w:t>_</w:t>
        </w:r>
        <w:r w:rsidR="003650BD" w:rsidRPr="00C2377B">
          <w:rPr>
            <w:rStyle w:val="afb"/>
            <w:rFonts w:cs="Arial"/>
            <w:lang w:val="en-US"/>
          </w:rPr>
          <w:t>broker</w:t>
        </w:r>
        <w:r w:rsidR="003650BD" w:rsidRPr="00C2377B">
          <w:rPr>
            <w:rStyle w:val="afb"/>
            <w:rFonts w:cs="Arial"/>
          </w:rPr>
          <w:t>@</w:t>
        </w:r>
        <w:r w:rsidR="003650BD" w:rsidRPr="00C2377B">
          <w:rPr>
            <w:rStyle w:val="afb"/>
            <w:rFonts w:cs="Arial"/>
            <w:lang w:val="en-US"/>
          </w:rPr>
          <w:t>tvoybrok</w:t>
        </w:r>
        <w:r w:rsidR="003650BD" w:rsidRPr="00C2377B">
          <w:rPr>
            <w:rStyle w:val="afb"/>
            <w:rFonts w:cs="Arial"/>
          </w:rPr>
          <w:t>.</w:t>
        </w:r>
        <w:r w:rsidR="003650BD" w:rsidRPr="00C2377B">
          <w:rPr>
            <w:rStyle w:val="afb"/>
            <w:rFonts w:cs="Arial"/>
            <w:lang w:val="en-US"/>
          </w:rPr>
          <w:t>ru</w:t>
        </w:r>
      </w:hyperlink>
      <w:r w:rsidRPr="00584748">
        <w:rPr>
          <w:rFonts w:cs="Arial"/>
        </w:rPr>
        <w:t xml:space="preserve">, и содержит имя и фамилию уполномоченного представителя Брокера. Брокер и его сотрудники обязуются соблюдать конфиденциальность ключей простой электронной подписи, которыми являются логин и пароль для доступа к почтовому сервису. </w:t>
      </w:r>
    </w:p>
    <w:p w14:paraId="6D397A60" w14:textId="77777777" w:rsidR="00B12CCB" w:rsidRDefault="00B12CCB">
      <w:pPr>
        <w:pStyle w:val="a0"/>
        <w:ind w:firstLine="4"/>
        <w:rPr>
          <w:rFonts w:cs="Arial"/>
        </w:rPr>
      </w:pPr>
      <w:r>
        <w:rPr>
          <w:rFonts w:cs="Arial"/>
        </w:rPr>
        <w:t>определение инвестиционного профиля клиента</w:t>
      </w:r>
    </w:p>
    <w:p w14:paraId="51189F0C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>Брокер предоставляет Клиенту индивидуальные инвестиционные рекомендации только после определения инвестиционного профиля Клиента.</w:t>
      </w:r>
    </w:p>
    <w:p w14:paraId="389A7809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 xml:space="preserve">Для определения инвестиционного профиля Клиент предоставляет Брокеру на бумажном носителе или по электронной почте заполненную анкету инвестиционного профилирования. По результатам </w:t>
      </w:r>
      <w:r>
        <w:rPr>
          <w:rFonts w:cs="Arial"/>
        </w:rPr>
        <w:lastRenderedPageBreak/>
        <w:t>анализа полученной информации Брокер представляет Клиенту на бумажном носителе (в двух экземплярах) или по электронной почте соответственно документ, содержащий инвестиционный профиль Клиента (далее – Справка об инвестиционном профиле), а также информацию, на основании которой он определен.</w:t>
      </w:r>
    </w:p>
    <w:p w14:paraId="18FBC198" w14:textId="77777777" w:rsidR="00B12CCB" w:rsidRDefault="00B12CCB">
      <w:pPr>
        <w:pStyle w:val="a1"/>
      </w:pPr>
      <w:r>
        <w:t xml:space="preserve">Если Клиент согласен с определенным в отношении него инвестиционным профилем, он выражает свое согласие посредством направления Брокеру подписанной Справки об инвестиционном профиле на бумажном носителе или ее электронный образ по электронной почте.  </w:t>
      </w:r>
      <w:r>
        <w:rPr>
          <w:rFonts w:cs="Arial"/>
        </w:rPr>
        <w:t>Если Справка об инвестиционном профиле подписана Клиентом на бумажном носителе, один экземпляр возвращается Клиенту.</w:t>
      </w:r>
    </w:p>
    <w:p w14:paraId="0D3EB346" w14:textId="77777777" w:rsidR="00B12CCB" w:rsidRDefault="00B12CCB">
      <w:pPr>
        <w:pStyle w:val="a1"/>
      </w:pPr>
      <w:r>
        <w:t>Для изменения своего инвестиционного профиля или в случае несогласия с определенным инвестиционным профилем Клиент обязан повторно осуществить действия, указанные в пунктах 2.2 и 2.3 Условий.</w:t>
      </w:r>
    </w:p>
    <w:p w14:paraId="397029BF" w14:textId="77777777" w:rsidR="00B12CCB" w:rsidRDefault="00B12CCB">
      <w:pPr>
        <w:pStyle w:val="a1"/>
      </w:pPr>
      <w:r>
        <w:t>Брокер не проверяет достоверность сведений, предоставленных Клиентом в анкете инвестиционного профилирования. Риски, связанные с предоставлением недостоверной информации, в том числе, для определения инвестиционного профиля Клиента, Клиент несет самостоятельно.</w:t>
      </w:r>
    </w:p>
    <w:p w14:paraId="1EFE4966" w14:textId="77777777" w:rsidR="00B12CCB" w:rsidRDefault="00B12CCB">
      <w:pPr>
        <w:pStyle w:val="a1"/>
      </w:pPr>
      <w:r>
        <w:t>Брокер не осуществляет отслеживание информации о Клиенте, влияющей на определение его инвестиционного профиля, и полностью полагается на предоставляемую Клиентом информацию. Клиенту рекомендуется уведомлять Брокера об изменении информации о Клиенте, предоставленной ранее для определения инвестиционного профиля. Уведомление об изменении информации осуществляется исключительно способом, указанным в пунктах 2.2 и 2.3 Условий. Иные способы уведомления не рассматриваются в качестве надлежащего сообщения Клиентом о том, что изменилась информация, влияющая на определение его инвестиционного профиля. Брокер освобождается от любой ответственности, связанной с неполучением Брокером такой информации.</w:t>
      </w:r>
    </w:p>
    <w:p w14:paraId="1C528CB2" w14:textId="77777777" w:rsidR="00B12CCB" w:rsidRDefault="00B12CCB">
      <w:pPr>
        <w:pStyle w:val="a1"/>
      </w:pPr>
      <w:r>
        <w:t>Брокер не осуществляет оценку соответствия Клиентского счета инвестиционному профилю Клиента.</w:t>
      </w:r>
    </w:p>
    <w:p w14:paraId="25EC5CCF" w14:textId="77777777" w:rsidR="00B12CCB" w:rsidRDefault="00B12CCB">
      <w:pPr>
        <w:pStyle w:val="a0"/>
        <w:ind w:firstLine="4"/>
        <w:rPr>
          <w:rFonts w:cs="Arial"/>
        </w:rPr>
      </w:pPr>
      <w:r>
        <w:rPr>
          <w:rFonts w:cs="Arial"/>
        </w:rPr>
        <w:t>предоставление индивидуальных инвестиционных рекомендаций</w:t>
      </w:r>
    </w:p>
    <w:p w14:paraId="77B14A5C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>Брокер предоставляет Клиенту индивидуальные инвестиционные рекомендации исключительно на основании инвестиционного профиля Клиента и активов Клиента, учитываемых Брокером в рамках Регламента на дату и время направления индивидуальной инвестиционной рекомендации.</w:t>
      </w:r>
    </w:p>
    <w:p w14:paraId="677EB177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>Индивидуальная инвестиционная рекомендация предоставляется Брокером Клиенту в одной из следующих форм:</w:t>
      </w:r>
    </w:p>
    <w:p w14:paraId="026B20CA" w14:textId="77777777" w:rsidR="00B12CCB" w:rsidRDefault="00B12CCB" w:rsidP="003650BD">
      <w:pPr>
        <w:pStyle w:val="a2"/>
        <w:tabs>
          <w:tab w:val="clear" w:pos="720"/>
          <w:tab w:val="num" w:pos="1418"/>
        </w:tabs>
        <w:ind w:left="1418" w:hanging="709"/>
      </w:pPr>
      <w:r>
        <w:t>в форме документа на бумажном носителе (по запросу Клиента, с проставлением на копии документа даты его передачи и подписи Клиента);</w:t>
      </w:r>
    </w:p>
    <w:p w14:paraId="62D590D7" w14:textId="77777777" w:rsidR="00B12CCB" w:rsidRDefault="00B12CCB" w:rsidP="003650BD">
      <w:pPr>
        <w:pStyle w:val="a2"/>
        <w:tabs>
          <w:tab w:val="clear" w:pos="720"/>
          <w:tab w:val="num" w:pos="1418"/>
        </w:tabs>
        <w:ind w:hanging="11"/>
      </w:pPr>
      <w:r>
        <w:t>в форме электронного документа (по умолчанию).</w:t>
      </w:r>
    </w:p>
    <w:p w14:paraId="36226F6F" w14:textId="77777777" w:rsidR="00B12CCB" w:rsidRDefault="00B12CCB">
      <w:pPr>
        <w:pStyle w:val="a1"/>
      </w:pPr>
      <w:r>
        <w:t>При предоставлении индивидуальной инвестиционной рекомендации как в электронном виде, так и на бумажном носителе может быть использована факсимильная подпись уполномоченного сотрудника Брокера, признаваемая Сторонами равнозначной собственноручной подписи такого уполномоченного сотрудника Брокера.</w:t>
      </w:r>
    </w:p>
    <w:p w14:paraId="6219D24F" w14:textId="77777777" w:rsidR="00B12CCB" w:rsidRDefault="00B12CCB">
      <w:pPr>
        <w:pStyle w:val="a1"/>
      </w:pPr>
      <w:r>
        <w:t>В тексте индивидуальной инвестиционной рекомендации указывается, что она является индивидуальной инвестиционной рекомендацией.</w:t>
      </w:r>
    </w:p>
    <w:p w14:paraId="13A60A80" w14:textId="77777777" w:rsidR="00B12CCB" w:rsidRDefault="00B12CCB">
      <w:pPr>
        <w:pStyle w:val="a1"/>
      </w:pPr>
      <w:r>
        <w:t xml:space="preserve">Не является предоставлением индивидуальной инвестиционной рекомендации в соответствии с настоящими Условиями: </w:t>
      </w:r>
    </w:p>
    <w:p w14:paraId="63ED9642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 w:rsidRPr="003650BD">
        <w:rPr>
          <w:rFonts w:cs="Arial"/>
        </w:rPr>
        <w:t>сообщение</w:t>
      </w:r>
      <w:r>
        <w:t xml:space="preserve"> (направление) Брокером Клиенту информации/рекомендации, подготовленной не Брокером, а иным лицом;</w:t>
      </w:r>
    </w:p>
    <w:p w14:paraId="2CAA3FF0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>
        <w:t>сообщение (направление) Брокером Клиенту информации/рекомендации способами, не предусмотренными для этого настоящими Условиями.</w:t>
      </w:r>
    </w:p>
    <w:p w14:paraId="1A63AB7D" w14:textId="77777777" w:rsidR="00B12CCB" w:rsidRDefault="00B12CCB">
      <w:pPr>
        <w:pStyle w:val="a1"/>
      </w:pPr>
      <w:r>
        <w:t>Индивидуальная инвестиционная рекомендация включает в себя описание ценной бумаги и планируемой с ней сделки (сделок) и (или) договора (договоров), являющегося производным финансовым инструментом, в отношении которых дается такая рекомендация, описание рисков, связанных с соответствующими ценной бумагой или производным финансовым инструментом, сделкой (сделками) с ценной бумагой и (или) заключением договора (договоров), являющегося производным финансовым инструментом (путем отсылки к соответствующей декларации о рисках, являющейся частью Регламента), а также указание на наличие конфликта интересов у Брокера, имеющего место при оказании Услуг, либо на его отсутствие.</w:t>
      </w:r>
    </w:p>
    <w:p w14:paraId="7CB690F4" w14:textId="77777777" w:rsidR="00B12CCB" w:rsidRDefault="00B12CCB">
      <w:pPr>
        <w:pStyle w:val="a1"/>
      </w:pPr>
      <w:r>
        <w:t>В случае, если Брокер оказывает услуги по инвестиционному консультированию в отношении ограниченного перечня ценных бумаг, сделок с ценными бумагами, и (или) договоров, являющихся производными финансовыми инструментами (далее при совместном упоминании - сделки с финансовыми инструментами), то Брокер должен ознакомить Клиента, с которым он заключает договор об инвестиционном консультировании, с перечнем ценных бумаг, сделок с финансовыми инструментами, в отношении которых Брокер оказываются услуги по инвестиционному консультированию, при заключении договора об инвестиционном консультировании. Указанный список размещен на сайте Брокера.</w:t>
      </w:r>
    </w:p>
    <w:p w14:paraId="02E3E9D7" w14:textId="77777777" w:rsidR="00B12CCB" w:rsidRDefault="00B12CCB">
      <w:pPr>
        <w:pStyle w:val="a1"/>
      </w:pPr>
      <w:r>
        <w:t xml:space="preserve">Во избежание сомнений информация, содержащаяся в индивидуальной инвестиционной рекомендации, не является рекламой каких-либо ценных бумаг или производных финансовых инструментов, </w:t>
      </w:r>
      <w:r>
        <w:lastRenderedPageBreak/>
        <w:t>продуктов или услуг или предложением совершать операции на финансовом рынке и не налагает на Брокера обязательства по продаже или приобретению каких-либо ценных бумаг или производных финансовых инструментов, привлечению финансирования, осуществлению доверительного управления или совершения брокерских операций в отношении ценных бумаг, производных финансовых инструментов или денежных средств Клиента.</w:t>
      </w:r>
    </w:p>
    <w:p w14:paraId="7C8E80B1" w14:textId="77777777" w:rsidR="00B12CCB" w:rsidRDefault="00B12CCB">
      <w:pPr>
        <w:pStyle w:val="a1"/>
      </w:pPr>
      <w:r>
        <w:rPr>
          <w:rFonts w:cs="Arial"/>
        </w:rPr>
        <w:t>Индивидуальная инвестиционная рекомендация</w:t>
      </w:r>
      <w:r>
        <w:t>, направляемая Брокером, является актуальной на момент времени ее предоставления, с учетом той информации об активах, которая была сообщена Клиентом. Индивидуальная инвестиционная рекомендация прекращает свое действие в момент ее отзыва Брокером. Отзыв рекомендации не влечет обязанность Брокера вернуть вознаграждение, оплаченное Клиентом. Отзыв индивидуальной инвестиционной рекомендации осуществляется путем направления уведомления, составленного и переданного Клиенту в форме и порядке, в которых Клиенту была ранее предоставлена отзываемая индивидуальная инвестиционная рекомендация.</w:t>
      </w:r>
    </w:p>
    <w:p w14:paraId="01EC1139" w14:textId="77777777" w:rsidR="00B12CCB" w:rsidRDefault="00B12CCB">
      <w:pPr>
        <w:pStyle w:val="a1"/>
      </w:pPr>
      <w:r>
        <w:t>Настоящим Брокер уведомляет Клиента о том, что в связи с исполнением индивидуальных инвестиционных рекомендаций у Клиента могут возникнуть расходы на выплату вознаграждений Брокеру, управляющему, депозитарию, регистратору, организатору торговли, клиринговой организации, кредитной организации. Клиент должен учитывать данные расходы и ознакомиться с тарифами указанных организаций до заключения сделки.</w:t>
      </w:r>
    </w:p>
    <w:p w14:paraId="585D791E" w14:textId="77777777" w:rsidR="00B12CCB" w:rsidRDefault="00B12CCB">
      <w:pPr>
        <w:pStyle w:val="a1"/>
      </w:pPr>
      <w:r>
        <w:t>Клиент осознает и соглашается с тем, что исполнение сделок, указанных в индивидуальной инвестиционной рекомендации, а также сама индивидуальная инвестиционная рекомендация не являются гарантией какой-либо доходности или возврата инвестированных средств, а любое решение об инвестировании принимается по его собственному усмотрению, в его свободной воле и финансовые потери, вызванные совершением им сделок с финансовыми инструментами, в том числе при совершении им сделок с ценными бумагами или производными финансовыми инструментами, указанными в индивидуальной инвестиционной рекомендации, не подлежат компенсации или возмещению со стороны Брокера.</w:t>
      </w:r>
    </w:p>
    <w:p w14:paraId="14FC63B2" w14:textId="77777777" w:rsidR="00B12CCB" w:rsidRDefault="00B12CCB">
      <w:pPr>
        <w:pStyle w:val="a1"/>
      </w:pPr>
      <w:r>
        <w:t>Сделки, определенные в индивидуальной инвестиционной рекомендации, как соответствующие инвестиционному профилю Клиента, а также приобретенные ценные бумаги, иностранная валюта и производные финансовые инструменты могут в дальнейшем оказаться неподходящими для Клиента и привести к финансовым потерям, в связи с чем Клиенту необходимо в любом случае самостоятельно оценить целесообразность совершения сделки с ценными бумагами или производными финансовыми инструментами.</w:t>
      </w:r>
    </w:p>
    <w:p w14:paraId="31896E72" w14:textId="77777777" w:rsidR="003650BD" w:rsidRDefault="00B12CCB">
      <w:pPr>
        <w:pStyle w:val="a1"/>
      </w:pPr>
      <w:r>
        <w:t>Индивидуальная инвестиционная рекомендация, предоставляемая Брокером, носит исключительно рекомендательный характер, и все решения о совершении Клиентом каких-либо действий с финансовыми инструментами принимаются Клиентом самостоятельно и по собственному усмотрению, при этом Клиент единолично несет риск возникновения соответствующих убытков, потерь, расходов и иных негативных последствий, которые могут возникнуть у Клиента или иных лиц вследствие использования Клиентом сведений, представленных Брокером при исполнении Договора.</w:t>
      </w:r>
    </w:p>
    <w:p w14:paraId="005EC989" w14:textId="77777777" w:rsidR="00B12CCB" w:rsidRDefault="00B12CCB" w:rsidP="003650BD">
      <w:pPr>
        <w:pStyle w:val="a1"/>
        <w:numPr>
          <w:ilvl w:val="0"/>
          <w:numId w:val="0"/>
        </w:numPr>
        <w:ind w:left="705"/>
      </w:pPr>
      <w:r>
        <w:t>Клиент обязан самостоятельно либо с привлечением сторонних независимых специалистов проводить анализ индивидуальных инвестиционных рекомендаций, оценивать возможность совершения и (или) отказа от совершения той или иной сделки с финансовым инструментом с учетом полученной индивидуальной инвестиционной рекомендации, исходя из времени, прошедшего с момента формирования и направления индивидуальной инвестиционной рекомендации Брокером Клиенту, текущей рыночной, политической ситуации, в том числе, учитывая возможное изменение ситуации по сравнению с ситуацией, имевшей место на момент формирования и направления индивидуальной инвестиционной рекомендации, а также учитывая имеющиеся особенности законодательного и налогового регулирования в иностранных юрисдикциях, налоговые последствия, риски и возможные негативные последствия того или иного решения, последствия возможного конфликта интересов Брокера и Клиента, возможные расходы, связанные с исполнением инвестиционного решения Клиента, текущие имеющиеся у Клиента активы, обязательства, включая, но не ограничиваясь, обязательства по сделкам с финансовыми инструментами и с валютой (валютными инструментами), текущее отношение Клиента к инвестиционному риску, доходности с учетом инвестиционного горизонта, цели и потребности Клиента при осуществлении им инвестирования, обстоятельств, связанных с личностью Клиента, имущественным положением Клиента, отношениями Клиента с третьими лицами, обстоятельства, которые в обычной деловой практике учитываются при принятии инвестиционного решения и (или) учет которых Клиент посчитает необходимым при принятии инвестиционного решения. Клиент не должен руководствоваться исключительно индивидуальной инвестиционной рекомендацией как единственным фактором, влияющим на принятие Клиентом того или иного решения.</w:t>
      </w:r>
    </w:p>
    <w:p w14:paraId="4F663023" w14:textId="77777777" w:rsidR="00B12CCB" w:rsidRDefault="00B12CCB">
      <w:pPr>
        <w:pStyle w:val="a1"/>
      </w:pPr>
      <w:r>
        <w:t>Клиент соглашается с тем, что индивидуальная инвестиционная рекомендация адресована исключительно Клиенту, обязуется сохранять конфиденциальность полученной от Брокера индивидуальной инвестиционной рекомендации, использовать содержащуюся в ней информацию исключительно для достижения личных инвестиционных целей, не передавать (не распространять) полученную информацию третьим лицам каким-либо способом, в том числе с использованием сети Интернет, без предварительного письменного согласия Брокера.</w:t>
      </w:r>
    </w:p>
    <w:p w14:paraId="1E517E5E" w14:textId="77777777" w:rsidR="00B12CCB" w:rsidRDefault="00B12CCB">
      <w:pPr>
        <w:pStyle w:val="a1"/>
      </w:pPr>
      <w:r>
        <w:t xml:space="preserve">Брокер не несет ответственности перед Клиентом за убытки, возникшие в результате заключенных </w:t>
      </w:r>
      <w:r>
        <w:lastRenderedPageBreak/>
        <w:t>Клиентом сделок и/или договоров, являющихся производными финансовыми инструментами, в том числе совершенных с использованием информации и (или) материалов, предоставленных Брокером, включая, но не ограничиваясь, убытки, возникшие вследствие:</w:t>
      </w:r>
    </w:p>
    <w:p w14:paraId="3769A13C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>
        <w:t>совершения сделок с финансовыми инструментами на основании предоставленной индивидуальной инвестиционной рекомендации с отступлением от условий, указанных в рекомендации, в том числе, частично либо за пределами сроков, указанных в индивидуальной инвестиционной рекомендации;</w:t>
      </w:r>
    </w:p>
    <w:p w14:paraId="6A5B4067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>
        <w:t>владения Клиентом финансовыми инструментами, приобретенными Клиентом на основании полученной от Брокера индивидуальной инвестиционной рекомендации;</w:t>
      </w:r>
    </w:p>
    <w:p w14:paraId="49C2A5CE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>
        <w:t>совершения Клиентом каких-либо сделок и иных юридически значимых действий с финансовыми инструментами, приобретенными Клиентом на основании полученной от Брокера индивидуальной инвестиционной рекомендации;</w:t>
      </w:r>
    </w:p>
    <w:p w14:paraId="4B5FA960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>
        <w:t>принятия Клиентом на основании полученной от Брокера индивидуальной инвестиционной рекомендации решения о приобретении / отказе от приобретения финансовых инструментов / совершении / отказе от совершения иных действий, связанных с финансовыми инструментами;</w:t>
      </w:r>
    </w:p>
    <w:p w14:paraId="2FF1A40A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>
        <w:t>изменения ситуации на российских и/или зарубежных финансовых рынках, в том числе повлекшие за собой изменение стоимости, снижение ликвидности, любые ограничения по обращению финансовых инструментов, приобретенных Клиентом на основании полученной от Брокера индивидуальной инвестиционной рекомендации;</w:t>
      </w:r>
    </w:p>
    <w:p w14:paraId="642ED724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>
        <w:t>действий</w:t>
      </w:r>
      <w:r w:rsidR="003650BD">
        <w:t>,</w:t>
      </w:r>
      <w:r>
        <w:t xml:space="preserve"> уполномоченных государственных и муниципальных органов Российской Федерации, действий иностранных органов государственной власти и управления, иностранных, международных и межгосударственных организаций и объединений, связанных с введением санкций и иных ограничений в отношении финансовых инструментов, приобретенных Клиентом на основании полученной от Брокера индивидуальной инвестиционной рекомендации;</w:t>
      </w:r>
    </w:p>
    <w:p w14:paraId="7400732A" w14:textId="77777777" w:rsidR="00B12CCB" w:rsidRDefault="00B12CCB" w:rsidP="003650BD">
      <w:pPr>
        <w:pStyle w:val="a1"/>
        <w:numPr>
          <w:ilvl w:val="1"/>
          <w:numId w:val="10"/>
        </w:numPr>
        <w:tabs>
          <w:tab w:val="clear" w:pos="705"/>
        </w:tabs>
        <w:ind w:left="1134" w:hanging="283"/>
      </w:pPr>
      <w:r>
        <w:t>исполнения индивидуальной инвестиционной рекомендации, основанной на представленной Клиентом недостоверной информации, в том числе для определения инвестиционного профиля.</w:t>
      </w:r>
    </w:p>
    <w:p w14:paraId="504F1276" w14:textId="77777777" w:rsidR="00B12CCB" w:rsidRDefault="00B12CCB">
      <w:pPr>
        <w:pStyle w:val="a1"/>
      </w:pPr>
      <w:r>
        <w:t>Брокер не несет ответственности за все случаи сбоев доставки индивидуальных инвестиционных рекомендаций, направляемых Клиенту (неполучение или несвоевременное получение Клиентом сообщений) посредством электронных средств связи, а также за потери и повреждение данных, связанных с использованием таких средств связи.</w:t>
      </w:r>
    </w:p>
    <w:p w14:paraId="04840A9E" w14:textId="77777777" w:rsidR="00B12CCB" w:rsidRDefault="00B12CCB">
      <w:pPr>
        <w:pStyle w:val="a0"/>
        <w:ind w:firstLine="4"/>
        <w:rPr>
          <w:rFonts w:cs="Arial"/>
        </w:rPr>
      </w:pPr>
      <w:r>
        <w:rPr>
          <w:rFonts w:cs="Arial"/>
        </w:rPr>
        <w:t>вознаграждение брокера</w:t>
      </w:r>
    </w:p>
    <w:p w14:paraId="58980964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>Вознаграждение Брокера за оказание Услуг взимается в соответствии с Тарифами</w:t>
      </w:r>
      <w:r w:rsidR="00587B91">
        <w:rPr>
          <w:rFonts w:cs="Arial"/>
        </w:rPr>
        <w:t>, приложение № 9 к Регламенту</w:t>
      </w:r>
      <w:r>
        <w:rPr>
          <w:rFonts w:cs="Arial"/>
        </w:rPr>
        <w:t>.</w:t>
      </w:r>
    </w:p>
    <w:p w14:paraId="5BAD31CB" w14:textId="77777777" w:rsidR="00B12CCB" w:rsidRDefault="00B12CCB">
      <w:pPr>
        <w:pStyle w:val="a0"/>
        <w:ind w:firstLine="4"/>
        <w:rPr>
          <w:rFonts w:cs="Arial"/>
        </w:rPr>
      </w:pPr>
      <w:r>
        <w:rPr>
          <w:rFonts w:cs="Arial"/>
        </w:rPr>
        <w:t>изменение и расторжение договора</w:t>
      </w:r>
    </w:p>
    <w:p w14:paraId="1E5C2B3D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 xml:space="preserve">Брокер вправе изменять любые положения Договора путем утверждения новой редакции Условий. Размещение текста новой редакции Условий на сайте Брокера является офертой на внесение изменений в Условия, а их акцептом является отсутствие отказа Клиента от Договора в порядке, установленном в пункте </w:t>
      </w:r>
      <w:r w:rsidR="00587B91">
        <w:rPr>
          <w:rFonts w:cs="Arial"/>
        </w:rPr>
        <w:fldChar w:fldCharType="begin"/>
      </w:r>
      <w:r w:rsidR="00587B91">
        <w:rPr>
          <w:rFonts w:cs="Arial"/>
        </w:rPr>
        <w:instrText xml:space="preserve"> REF _Ref216081578 \r \h </w:instrText>
      </w:r>
      <w:r w:rsidR="00587B91">
        <w:rPr>
          <w:rFonts w:cs="Arial"/>
        </w:rPr>
      </w:r>
      <w:r w:rsidR="00587B91">
        <w:rPr>
          <w:rFonts w:cs="Arial"/>
        </w:rPr>
        <w:fldChar w:fldCharType="separate"/>
      </w:r>
      <w:r w:rsidR="00587B91">
        <w:rPr>
          <w:rFonts w:cs="Arial"/>
        </w:rPr>
        <w:t>5.2</w:t>
      </w:r>
      <w:r w:rsidR="00587B91">
        <w:rPr>
          <w:rFonts w:cs="Arial"/>
        </w:rPr>
        <w:fldChar w:fldCharType="end"/>
      </w:r>
      <w:r w:rsidR="00587B91">
        <w:rPr>
          <w:rFonts w:cs="Arial"/>
        </w:rPr>
        <w:t xml:space="preserve"> </w:t>
      </w:r>
      <w:r>
        <w:rPr>
          <w:rFonts w:cs="Arial"/>
        </w:rPr>
        <w:t>Условий, по истечении 5 (Пяти) календарных дней с даты размещения текста новой редакции Условий на сайте Брокера. Клиент принимает на себя обязательство регулярно обращаться к сайту Брокера с целью ознакомления с возможными изменениями Условий и в полном объеме принимает на себя риски, связанные с неисполнением или ненадлежащим исполнением указанной обязанности.</w:t>
      </w:r>
    </w:p>
    <w:p w14:paraId="50F38B9D" w14:textId="77777777" w:rsidR="00B12CCB" w:rsidRDefault="00B12CCB">
      <w:pPr>
        <w:pStyle w:val="a1"/>
        <w:rPr>
          <w:rFonts w:cs="Arial"/>
        </w:rPr>
      </w:pPr>
      <w:bookmarkStart w:id="2" w:name="_Ref216081578"/>
      <w:r>
        <w:rPr>
          <w:rFonts w:cs="Arial"/>
        </w:rPr>
        <w:t xml:space="preserve">Клиент вправе отказаться от Договора, направив Брокеру заявление, указанное в пункте </w:t>
      </w:r>
      <w:r w:rsidR="00587B91">
        <w:rPr>
          <w:rFonts w:cs="Arial"/>
        </w:rPr>
        <w:fldChar w:fldCharType="begin"/>
      </w:r>
      <w:r w:rsidR="00587B91">
        <w:rPr>
          <w:rFonts w:cs="Arial"/>
        </w:rPr>
        <w:instrText xml:space="preserve"> REF _Ref216081602 \r \h </w:instrText>
      </w:r>
      <w:r w:rsidR="00587B91">
        <w:rPr>
          <w:rFonts w:cs="Arial"/>
        </w:rPr>
      </w:r>
      <w:r w:rsidR="00587B91">
        <w:rPr>
          <w:rFonts w:cs="Arial"/>
        </w:rPr>
        <w:fldChar w:fldCharType="separate"/>
      </w:r>
      <w:r w:rsidR="00587B91">
        <w:rPr>
          <w:rFonts w:cs="Arial"/>
        </w:rPr>
        <w:t>1.1</w:t>
      </w:r>
      <w:r w:rsidR="00587B91">
        <w:rPr>
          <w:rFonts w:cs="Arial"/>
        </w:rPr>
        <w:fldChar w:fldCharType="end"/>
      </w:r>
      <w:r w:rsidR="00587B91">
        <w:rPr>
          <w:rFonts w:cs="Arial"/>
        </w:rPr>
        <w:t xml:space="preserve"> </w:t>
      </w:r>
      <w:r>
        <w:rPr>
          <w:rFonts w:cs="Arial"/>
        </w:rPr>
        <w:t xml:space="preserve">Условий, с отметкой об отключении услуги инвестиционного консультирования. Договор считается расторгнутым в дату получения уведомления от Брокера о принятии указанного заявления Брокером, направленного </w:t>
      </w:r>
      <w:r>
        <w:t>посредством электронной почты, в соответствии с п.</w:t>
      </w:r>
      <w:r w:rsidR="00587B91">
        <w:fldChar w:fldCharType="begin"/>
      </w:r>
      <w:r w:rsidR="00587B91">
        <w:instrText xml:space="preserve"> REF _Ref216081616 \r \h </w:instrText>
      </w:r>
      <w:r w:rsidR="00587B91">
        <w:fldChar w:fldCharType="separate"/>
      </w:r>
      <w:r w:rsidR="00587B91">
        <w:t>1.9</w:t>
      </w:r>
      <w:r w:rsidR="00587B91">
        <w:fldChar w:fldCharType="end"/>
      </w:r>
      <w:r>
        <w:t>. настоящих Условий</w:t>
      </w:r>
      <w:r>
        <w:rPr>
          <w:rFonts w:cs="Arial"/>
        </w:rPr>
        <w:t>.</w:t>
      </w:r>
      <w:bookmarkEnd w:id="2"/>
    </w:p>
    <w:p w14:paraId="2A3FF8AD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>Договор прекращается также в случае расторжения брокерского договора, заключенного в рамках Регламента.</w:t>
      </w:r>
    </w:p>
    <w:p w14:paraId="7333DB3D" w14:textId="77777777" w:rsidR="00B12CCB" w:rsidRDefault="00B12CCB">
      <w:pPr>
        <w:pStyle w:val="a0"/>
        <w:ind w:firstLine="4"/>
        <w:rPr>
          <w:rFonts w:cs="Arial"/>
        </w:rPr>
      </w:pPr>
      <w:r>
        <w:rPr>
          <w:rFonts w:cs="Arial"/>
        </w:rPr>
        <w:t>прочие условия</w:t>
      </w:r>
    </w:p>
    <w:p w14:paraId="276E9D8F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>Стороны признают в качестве допустимых, относимых и пригодных для предъявления в суде доказательств оказания Клиенту Услуг надлежащим образом, а также обстоятельств, связанных с оказанием Клиенту Услуг, следующие доказательства:</w:t>
      </w:r>
    </w:p>
    <w:p w14:paraId="599F4E17" w14:textId="77777777" w:rsidR="00B12CCB" w:rsidRDefault="00B12CCB" w:rsidP="00587B91">
      <w:pPr>
        <w:pStyle w:val="a1"/>
        <w:numPr>
          <w:ilvl w:val="1"/>
          <w:numId w:val="11"/>
        </w:numPr>
        <w:tabs>
          <w:tab w:val="clear" w:pos="705"/>
        </w:tabs>
        <w:ind w:left="1134" w:hanging="283"/>
        <w:rPr>
          <w:rFonts w:cs="Arial"/>
        </w:rPr>
      </w:pPr>
      <w:r>
        <w:rPr>
          <w:rFonts w:cs="Arial"/>
        </w:rPr>
        <w:t>записи телефонных переговоров между уполномоченными лицами Брокера и Клиентом, осуществленные Брокером при помощи специальных технических и программных средств на магнитных или иных носителях; Клиент настоящим подтверждает, что дает согласие на запись телефонных разговоров;</w:t>
      </w:r>
    </w:p>
    <w:p w14:paraId="4F83ABB6" w14:textId="77777777" w:rsidR="00B12CCB" w:rsidRDefault="00B12CCB" w:rsidP="00587B91">
      <w:pPr>
        <w:pStyle w:val="a1"/>
        <w:numPr>
          <w:ilvl w:val="1"/>
          <w:numId w:val="11"/>
        </w:numPr>
        <w:tabs>
          <w:tab w:val="clear" w:pos="705"/>
        </w:tabs>
        <w:ind w:left="1134" w:hanging="283"/>
        <w:rPr>
          <w:rFonts w:cs="Arial"/>
        </w:rPr>
      </w:pPr>
      <w:r>
        <w:rPr>
          <w:rFonts w:cs="Arial"/>
        </w:rPr>
        <w:t>выписки с почтового сервера Брокера об отправке индивидуальных инвестиционных рекоменда</w:t>
      </w:r>
      <w:r>
        <w:rPr>
          <w:rFonts w:cs="Arial"/>
        </w:rPr>
        <w:lastRenderedPageBreak/>
        <w:t>ций или иного сообщения, уведомления, требования, подписанных уполномоченным лицом Брокера;</w:t>
      </w:r>
    </w:p>
    <w:p w14:paraId="095F396A" w14:textId="77777777" w:rsidR="00B12CCB" w:rsidRDefault="00B12CCB" w:rsidP="00587B91">
      <w:pPr>
        <w:pStyle w:val="a1"/>
        <w:numPr>
          <w:ilvl w:val="1"/>
          <w:numId w:val="11"/>
        </w:numPr>
        <w:tabs>
          <w:tab w:val="clear" w:pos="705"/>
        </w:tabs>
        <w:ind w:left="1134" w:hanging="283"/>
        <w:rPr>
          <w:rFonts w:cs="Arial"/>
        </w:rPr>
      </w:pPr>
      <w:r>
        <w:rPr>
          <w:rFonts w:cs="Arial"/>
        </w:rPr>
        <w:t>иные доказательства, которые в соответствии с положениями Регламента и приложений к нему, также являются допустимыми, относимыми и пригодными для предъявления в суде при возникновении споров с Клиентом.</w:t>
      </w:r>
    </w:p>
    <w:p w14:paraId="252A583F" w14:textId="397B854A" w:rsidR="00B12CCB" w:rsidRDefault="00B12CCB">
      <w:pPr>
        <w:pStyle w:val="a1"/>
        <w:rPr>
          <w:rFonts w:cs="Arial"/>
        </w:rPr>
      </w:pPr>
      <w:r>
        <w:rPr>
          <w:rFonts w:cs="Arial"/>
        </w:rPr>
        <w:t>Споры в связи с Договором, в том числе в связи с его заключением, исполнением, изменением, расторжением, прекращением, недействительностью, незаключенностью, неисполнением подлежат разрешению в порядке, сроки и на условиях, предусмотренных Регламентом</w:t>
      </w:r>
      <w:bookmarkStart w:id="3" w:name="_GoBack"/>
      <w:bookmarkEnd w:id="3"/>
      <w:r>
        <w:rPr>
          <w:rFonts w:cs="Arial"/>
        </w:rPr>
        <w:t>. В случае недостижения согласия спор передается в суд для разрешения в соответствии с подсудностью, установленной действующим законодательством Российской Федерации.</w:t>
      </w:r>
    </w:p>
    <w:p w14:paraId="64884053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>Ко всем отношениям Сторон, прямо не урегулированным настоящими Условиями, применяются положения Регламента и приложений к нему, если Регламентом или приложением к нему прямо не установлено, что соответствующее положение не подлежит применению к отношениям Сторон в связи с инвестиционным консультированием, предоставлением индивидуальных инвестиционных рекомендаций. Соответствующие положения Регламента и приложени</w:t>
      </w:r>
      <w:r w:rsidR="00587B91">
        <w:rPr>
          <w:rFonts w:cs="Arial"/>
        </w:rPr>
        <w:t>я</w:t>
      </w:r>
      <w:r>
        <w:rPr>
          <w:rFonts w:cs="Arial"/>
        </w:rPr>
        <w:t xml:space="preserve"> к нему</w:t>
      </w:r>
      <w:r w:rsidR="00587B91">
        <w:rPr>
          <w:rFonts w:cs="Arial"/>
        </w:rPr>
        <w:t>,</w:t>
      </w:r>
      <w:r>
        <w:rPr>
          <w:rFonts w:cs="Arial"/>
        </w:rPr>
        <w:t xml:space="preserve"> являются неотъемлемой частью Договора.</w:t>
      </w:r>
    </w:p>
    <w:p w14:paraId="5A18AF61" w14:textId="77777777" w:rsidR="00B12CCB" w:rsidRDefault="00B12CCB">
      <w:pPr>
        <w:pStyle w:val="a1"/>
        <w:rPr>
          <w:rFonts w:cs="Arial"/>
        </w:rPr>
      </w:pPr>
      <w:r>
        <w:rPr>
          <w:rFonts w:cs="Arial"/>
        </w:rPr>
        <w:t>Если какое-либо из положений Условий будет признано компетентным судом недействительным или каким-либо иным образом лишенным законной силы, остальные положения Условий сохраняют силу.</w:t>
      </w:r>
    </w:p>
    <w:p w14:paraId="000D066A" w14:textId="77777777" w:rsidR="00B12CCB" w:rsidRDefault="00B12CCB">
      <w:pPr>
        <w:pStyle w:val="a1"/>
        <w:rPr>
          <w:rFonts w:cs="Arial"/>
          <w:b/>
          <w:caps/>
        </w:rPr>
      </w:pPr>
      <w:r>
        <w:rPr>
          <w:rFonts w:cs="Arial"/>
        </w:rPr>
        <w:t>Все приложения, указанные в настоящих Условиях, являются их неотъемлемыми частями.</w:t>
      </w:r>
    </w:p>
    <w:sectPr w:rsidR="00B12CCB">
      <w:headerReference w:type="default" r:id="rId9"/>
      <w:footerReference w:type="default" r:id="rId10"/>
      <w:headerReference w:type="first" r:id="rId11"/>
      <w:pgSz w:w="11906" w:h="16838" w:code="9"/>
      <w:pgMar w:top="851" w:right="567" w:bottom="851" w:left="1134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E5CE9" w14:textId="77777777" w:rsidR="00520096" w:rsidRDefault="00520096">
      <w:r>
        <w:separator/>
      </w:r>
    </w:p>
  </w:endnote>
  <w:endnote w:type="continuationSeparator" w:id="0">
    <w:p w14:paraId="29730462" w14:textId="77777777" w:rsidR="00520096" w:rsidRDefault="0052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ultant">
    <w:charset w:val="00"/>
    <w:family w:val="modern"/>
    <w:pitch w:val="fixed"/>
    <w:sig w:usb0="00000203" w:usb1="00000000" w:usb2="00000000" w:usb3="00000000" w:csb0="00000005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C1369" w14:textId="7F9A6DFE" w:rsidR="00B12CCB" w:rsidRDefault="00B12CC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56FFE">
      <w:rPr>
        <w:noProof/>
      </w:rPr>
      <w:t>4</w:t>
    </w:r>
    <w:r>
      <w:fldChar w:fldCharType="end"/>
    </w:r>
  </w:p>
  <w:p w14:paraId="70C19243" w14:textId="77777777" w:rsidR="00B12CCB" w:rsidRDefault="00B12C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1E626" w14:textId="77777777" w:rsidR="00520096" w:rsidRDefault="00520096">
      <w:r>
        <w:separator/>
      </w:r>
    </w:p>
  </w:footnote>
  <w:footnote w:type="continuationSeparator" w:id="0">
    <w:p w14:paraId="4E8FE1FD" w14:textId="77777777" w:rsidR="00520096" w:rsidRDefault="00520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F5D96" w14:textId="576088AA" w:rsidR="00B12CCB" w:rsidRDefault="00B12CCB">
    <w:pPr>
      <w:pStyle w:val="af2"/>
      <w:jc w:val="right"/>
      <w:rPr>
        <w:szCs w:val="18"/>
      </w:rPr>
    </w:pPr>
    <w:r>
      <w:rPr>
        <w:rStyle w:val="af3"/>
      </w:rPr>
      <w:fldChar w:fldCharType="begin"/>
    </w:r>
    <w:r>
      <w:rPr>
        <w:rStyle w:val="af3"/>
      </w:rPr>
      <w:instrText xml:space="preserve"> PAGE </w:instrText>
    </w:r>
    <w:r>
      <w:rPr>
        <w:rStyle w:val="af3"/>
      </w:rPr>
      <w:fldChar w:fldCharType="separate"/>
    </w:r>
    <w:r w:rsidR="00656FFE">
      <w:rPr>
        <w:rStyle w:val="af3"/>
        <w:noProof/>
      </w:rPr>
      <w:t>4</w:t>
    </w:r>
    <w:r>
      <w:rPr>
        <w:rStyle w:val="af3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733D5" w14:textId="77777777" w:rsidR="00753F06" w:rsidRPr="00753F06" w:rsidRDefault="00753F06" w:rsidP="00753F06">
    <w:pPr>
      <w:pStyle w:val="af2"/>
      <w:jc w:val="right"/>
      <w:rPr>
        <w:sz w:val="16"/>
      </w:rPr>
    </w:pPr>
    <w:r w:rsidRPr="00753F06">
      <w:rPr>
        <w:sz w:val="16"/>
      </w:rPr>
      <w:t>Приложение № 30</w:t>
    </w:r>
  </w:p>
  <w:p w14:paraId="2FFC45DA" w14:textId="77777777" w:rsidR="00753F06" w:rsidRPr="00753F06" w:rsidRDefault="00753F06" w:rsidP="00753F06">
    <w:pPr>
      <w:pStyle w:val="af2"/>
      <w:jc w:val="right"/>
      <w:rPr>
        <w:sz w:val="16"/>
      </w:rPr>
    </w:pPr>
    <w:r w:rsidRPr="00753F06">
      <w:rPr>
        <w:sz w:val="16"/>
      </w:rPr>
      <w:t>к Регламенту оказания брокерских услуг</w:t>
    </w:r>
  </w:p>
  <w:p w14:paraId="7C107D01" w14:textId="77777777" w:rsidR="00753F06" w:rsidRPr="00753F06" w:rsidRDefault="00753F06" w:rsidP="00753F06">
    <w:pPr>
      <w:pStyle w:val="af2"/>
      <w:jc w:val="right"/>
      <w:rPr>
        <w:sz w:val="16"/>
      </w:rPr>
    </w:pPr>
    <w:r w:rsidRPr="00753F06">
      <w:rPr>
        <w:sz w:val="16"/>
      </w:rPr>
      <w:t>на финансовых рынках ООО «Твой Брокер»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AD2"/>
    <w:multiLevelType w:val="multilevel"/>
    <w:tmpl w:val="53BCC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072"/>
        </w:tabs>
        <w:ind w:left="1072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CA47F5B"/>
    <w:multiLevelType w:val="hybridMultilevel"/>
    <w:tmpl w:val="2480CD1C"/>
    <w:lvl w:ilvl="0" w:tplc="497EFCEA">
      <w:start w:val="1"/>
      <w:numFmt w:val="bullet"/>
      <w:pStyle w:val="1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5718BED8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E62CDB0C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11F892C0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3334CDCA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7BE0B1EC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5F8CE6E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95B6DE3C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24DEC3F0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26B6599F"/>
    <w:multiLevelType w:val="hybridMultilevel"/>
    <w:tmpl w:val="AF0AC0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23A32"/>
    <w:multiLevelType w:val="multilevel"/>
    <w:tmpl w:val="05226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CC4178D"/>
    <w:multiLevelType w:val="hybridMultilevel"/>
    <w:tmpl w:val="D4B01CCE"/>
    <w:lvl w:ilvl="0" w:tplc="FFFFFFFF">
      <w:start w:val="1"/>
      <w:numFmt w:val="bullet"/>
      <w:pStyle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914C3"/>
    <w:multiLevelType w:val="singleLevel"/>
    <w:tmpl w:val="583C59C6"/>
    <w:lvl w:ilvl="0">
      <w:start w:val="1"/>
      <w:numFmt w:val="decimal"/>
      <w:pStyle w:val="a"/>
      <w:lvlText w:val="1.1.1.%1."/>
      <w:lvlJc w:val="left"/>
      <w:pPr>
        <w:tabs>
          <w:tab w:val="num" w:pos="703"/>
        </w:tabs>
        <w:ind w:left="703" w:hanging="703"/>
      </w:pPr>
      <w:rPr>
        <w:b/>
        <w:i w:val="0"/>
      </w:rPr>
    </w:lvl>
  </w:abstractNum>
  <w:abstractNum w:abstractNumId="6" w15:restartNumberingAfterBreak="0">
    <w:nsid w:val="35A4011C"/>
    <w:multiLevelType w:val="multilevel"/>
    <w:tmpl w:val="8AECF3D6"/>
    <w:lvl w:ilvl="0">
      <w:start w:val="1"/>
      <w:numFmt w:val="decimal"/>
      <w:isLgl/>
      <w:suff w:val="space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7" w15:restartNumberingAfterBreak="0">
    <w:nsid w:val="39D268A4"/>
    <w:multiLevelType w:val="hybridMultilevel"/>
    <w:tmpl w:val="4D260714"/>
    <w:lvl w:ilvl="0" w:tplc="CD1EB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45097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150828"/>
    <w:multiLevelType w:val="multilevel"/>
    <w:tmpl w:val="53EA8E5C"/>
    <w:lvl w:ilvl="0">
      <w:start w:val="1"/>
      <w:numFmt w:val="decimal"/>
      <w:isLgl/>
      <w:suff w:val="space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bullet"/>
      <w:lvlText w:val="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9" w15:restartNumberingAfterBreak="0">
    <w:nsid w:val="45632DC9"/>
    <w:multiLevelType w:val="multilevel"/>
    <w:tmpl w:val="A776F512"/>
    <w:lvl w:ilvl="0">
      <w:start w:val="50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703" w:hanging="646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24" w:hanging="1800"/>
      </w:pPr>
      <w:rPr>
        <w:rFonts w:hint="default"/>
      </w:rPr>
    </w:lvl>
  </w:abstractNum>
  <w:abstractNum w:abstractNumId="10" w15:restartNumberingAfterBreak="0">
    <w:nsid w:val="5C655A72"/>
    <w:multiLevelType w:val="hybridMultilevel"/>
    <w:tmpl w:val="2AEAE1A6"/>
    <w:lvl w:ilvl="0" w:tplc="0FD23EF8">
      <w:start w:val="1"/>
      <w:numFmt w:val="bullet"/>
      <w:pStyle w:val="2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1EC6129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64C61F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A2E66E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0C2CEB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F3619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791A5C2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96B8BC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73563BB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25C2346"/>
    <w:multiLevelType w:val="multilevel"/>
    <w:tmpl w:val="BFE42F9C"/>
    <w:lvl w:ilvl="0">
      <w:start w:val="1"/>
      <w:numFmt w:val="decimal"/>
      <w:pStyle w:val="a0"/>
      <w:isLgl/>
      <w:suff w:val="space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pStyle w:val="a1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2" w15:restartNumberingAfterBreak="0">
    <w:nsid w:val="72AA237D"/>
    <w:multiLevelType w:val="multilevel"/>
    <w:tmpl w:val="5F885206"/>
    <w:lvl w:ilvl="0">
      <w:start w:val="1"/>
      <w:numFmt w:val="decimal"/>
      <w:isLgl/>
      <w:suff w:val="space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5"/>
  </w:num>
  <w:num w:numId="2">
    <w:abstractNumId w:val="11"/>
  </w:num>
  <w:num w:numId="3">
    <w:abstractNumId w:val="11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  <w:num w:numId="11">
    <w:abstractNumId w:val="12"/>
  </w:num>
  <w:num w:numId="12">
    <w:abstractNumId w:val="2"/>
  </w:num>
  <w:num w:numId="13">
    <w:abstractNumId w:val="8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91"/>
    <w:rsid w:val="003650BD"/>
    <w:rsid w:val="003924DD"/>
    <w:rsid w:val="004B259B"/>
    <w:rsid w:val="00520096"/>
    <w:rsid w:val="00584748"/>
    <w:rsid w:val="00587B91"/>
    <w:rsid w:val="00656FFE"/>
    <w:rsid w:val="006C7F38"/>
    <w:rsid w:val="00753F06"/>
    <w:rsid w:val="00B12CCB"/>
    <w:rsid w:val="00DE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36DCE"/>
  <w15:chartTrackingRefBased/>
  <w15:docId w15:val="{1C95A079-F621-4E5E-A4CA-2CC5B67E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jc w:val="both"/>
    </w:pPr>
    <w:rPr>
      <w:rFonts w:ascii="Arial" w:hAnsi="Arial"/>
    </w:rPr>
  </w:style>
  <w:style w:type="paragraph" w:styleId="10">
    <w:name w:val="heading 1"/>
    <w:basedOn w:val="a3"/>
    <w:next w:val="a3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0">
    <w:name w:val="heading 2"/>
    <w:basedOn w:val="a3"/>
    <w:next w:val="a3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3"/>
    <w:next w:val="a3"/>
    <w:qFormat/>
    <w:pPr>
      <w:keepNext/>
      <w:keepLines/>
      <w:spacing w:before="240" w:after="200"/>
      <w:ind w:left="1406" w:hanging="1406"/>
      <w:jc w:val="left"/>
      <w:outlineLvl w:val="2"/>
    </w:pPr>
    <w:rPr>
      <w:b/>
      <w:caps/>
    </w:rPr>
  </w:style>
  <w:style w:type="paragraph" w:styleId="4">
    <w:name w:val="heading 4"/>
    <w:basedOn w:val="a3"/>
    <w:next w:val="a3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3"/>
    <w:next w:val="a3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3"/>
    <w:next w:val="a3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8"/>
    <w:link w:val="a9"/>
    <w:uiPriority w:val="99"/>
    <w:pPr>
      <w:spacing w:before="20"/>
      <w:jc w:val="right"/>
    </w:pPr>
    <w:rPr>
      <w:color w:val="0000FF"/>
      <w:sz w:val="16"/>
    </w:rPr>
  </w:style>
  <w:style w:type="paragraph" w:customStyle="1" w:styleId="aa">
    <w:name w:val="курсив в таблице"/>
    <w:basedOn w:val="a8"/>
    <w:pPr>
      <w:jc w:val="center"/>
    </w:pPr>
    <w:rPr>
      <w:i/>
      <w:sz w:val="12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customStyle="1" w:styleId="a8">
    <w:name w:val="Текстовый"/>
    <w:link w:val="ac"/>
    <w:pPr>
      <w:widowControl w:val="0"/>
      <w:jc w:val="both"/>
    </w:pPr>
    <w:rPr>
      <w:rFonts w:ascii="Arial" w:hAnsi="Arial"/>
    </w:rPr>
  </w:style>
  <w:style w:type="paragraph" w:customStyle="1" w:styleId="ad">
    <w:name w:val="Вид документа"/>
    <w:basedOn w:val="a8"/>
    <w:pPr>
      <w:jc w:val="center"/>
    </w:pPr>
    <w:rPr>
      <w:b/>
      <w:caps/>
      <w:sz w:val="28"/>
    </w:rPr>
  </w:style>
  <w:style w:type="paragraph" w:customStyle="1" w:styleId="ae">
    <w:name w:val="Разновидность документа"/>
    <w:basedOn w:val="a8"/>
    <w:link w:val="af"/>
    <w:pPr>
      <w:spacing w:after="40"/>
      <w:jc w:val="center"/>
    </w:pPr>
    <w:rPr>
      <w:b/>
      <w:sz w:val="24"/>
    </w:rPr>
  </w:style>
  <w:style w:type="paragraph" w:customStyle="1" w:styleId="a">
    <w:name w:val="Подподпункт договора"/>
    <w:basedOn w:val="a8"/>
    <w:pPr>
      <w:numPr>
        <w:numId w:val="1"/>
      </w:numPr>
    </w:pPr>
  </w:style>
  <w:style w:type="paragraph" w:customStyle="1" w:styleId="af0">
    <w:name w:val="текст в таблице"/>
    <w:basedOn w:val="a8"/>
    <w:pPr>
      <w:jc w:val="left"/>
    </w:pPr>
    <w:rPr>
      <w:caps/>
      <w:sz w:val="12"/>
    </w:rPr>
  </w:style>
  <w:style w:type="paragraph" w:customStyle="1" w:styleId="a1">
    <w:name w:val="Пункт договора"/>
    <w:basedOn w:val="a8"/>
    <w:link w:val="af1"/>
    <w:pPr>
      <w:numPr>
        <w:ilvl w:val="1"/>
        <w:numId w:val="2"/>
      </w:numPr>
    </w:pPr>
  </w:style>
  <w:style w:type="paragraph" w:customStyle="1" w:styleId="a0">
    <w:name w:val="Раздел договора"/>
    <w:basedOn w:val="a8"/>
    <w:next w:val="a1"/>
    <w:pPr>
      <w:keepNext/>
      <w:keepLines/>
      <w:numPr>
        <w:numId w:val="3"/>
      </w:numPr>
      <w:spacing w:before="240" w:after="200"/>
      <w:jc w:val="left"/>
    </w:pPr>
    <w:rPr>
      <w:b/>
      <w:caps/>
    </w:rPr>
  </w:style>
  <w:style w:type="paragraph" w:customStyle="1" w:styleId="a2">
    <w:name w:val="Подпункт договора"/>
    <w:basedOn w:val="a1"/>
    <w:pPr>
      <w:widowControl/>
      <w:numPr>
        <w:ilvl w:val="2"/>
      </w:numPr>
    </w:pPr>
  </w:style>
  <w:style w:type="paragraph" w:customStyle="1" w:styleId="ConsTitle">
    <w:name w:val="ConsTitle"/>
    <w:rPr>
      <w:rFonts w:ascii="Arial" w:hAnsi="Arial"/>
      <w:b/>
      <w:snapToGrid w:val="0"/>
      <w:sz w:val="12"/>
      <w:lang w:eastAsia="en-US"/>
    </w:rPr>
  </w:style>
  <w:style w:type="paragraph" w:customStyle="1" w:styleId="ConsNormal">
    <w:name w:val="ConsNormal"/>
    <w:pPr>
      <w:ind w:firstLine="720"/>
    </w:pPr>
    <w:rPr>
      <w:rFonts w:ascii="Consultant" w:hAnsi="Consultant"/>
      <w:snapToGrid w:val="0"/>
      <w:sz w:val="16"/>
      <w:lang w:eastAsia="en-US"/>
    </w:rPr>
  </w:style>
  <w:style w:type="paragraph" w:styleId="11">
    <w:name w:val="toc 1"/>
    <w:basedOn w:val="a3"/>
    <w:next w:val="a3"/>
    <w:autoRedefine/>
    <w:semiHidden/>
  </w:style>
  <w:style w:type="paragraph" w:styleId="21">
    <w:name w:val="toc 2"/>
    <w:basedOn w:val="a3"/>
    <w:next w:val="a3"/>
    <w:autoRedefine/>
    <w:semiHidden/>
    <w:pPr>
      <w:ind w:left="200"/>
    </w:pPr>
  </w:style>
  <w:style w:type="paragraph" w:styleId="30">
    <w:name w:val="toc 3"/>
    <w:basedOn w:val="a3"/>
    <w:next w:val="a3"/>
    <w:autoRedefine/>
    <w:semiHidden/>
    <w:pPr>
      <w:ind w:left="400"/>
    </w:pPr>
  </w:style>
  <w:style w:type="paragraph" w:styleId="40">
    <w:name w:val="toc 4"/>
    <w:basedOn w:val="a3"/>
    <w:next w:val="a3"/>
    <w:autoRedefine/>
    <w:semiHidden/>
    <w:pPr>
      <w:ind w:left="600"/>
    </w:pPr>
  </w:style>
  <w:style w:type="paragraph" w:styleId="5">
    <w:name w:val="toc 5"/>
    <w:basedOn w:val="a3"/>
    <w:next w:val="a3"/>
    <w:autoRedefine/>
    <w:semiHidden/>
    <w:pPr>
      <w:ind w:left="800"/>
    </w:pPr>
  </w:style>
  <w:style w:type="paragraph" w:styleId="6">
    <w:name w:val="toc 6"/>
    <w:basedOn w:val="a3"/>
    <w:next w:val="a3"/>
    <w:autoRedefine/>
    <w:semiHidden/>
    <w:pPr>
      <w:ind w:left="1000"/>
    </w:pPr>
  </w:style>
  <w:style w:type="paragraph" w:styleId="70">
    <w:name w:val="toc 7"/>
    <w:basedOn w:val="a3"/>
    <w:next w:val="a3"/>
    <w:autoRedefine/>
    <w:semiHidden/>
    <w:pPr>
      <w:ind w:left="1200"/>
    </w:pPr>
  </w:style>
  <w:style w:type="paragraph" w:styleId="80">
    <w:name w:val="toc 8"/>
    <w:basedOn w:val="a3"/>
    <w:next w:val="a3"/>
    <w:autoRedefine/>
    <w:semiHidden/>
    <w:pPr>
      <w:ind w:left="1400"/>
    </w:pPr>
  </w:style>
  <w:style w:type="paragraph" w:styleId="9">
    <w:name w:val="toc 9"/>
    <w:basedOn w:val="a3"/>
    <w:next w:val="a3"/>
    <w:autoRedefine/>
    <w:semiHidden/>
    <w:pPr>
      <w:ind w:left="1600"/>
    </w:pPr>
  </w:style>
  <w:style w:type="paragraph" w:styleId="af2">
    <w:name w:val="header"/>
    <w:basedOn w:val="a3"/>
    <w:pPr>
      <w:tabs>
        <w:tab w:val="center" w:pos="4153"/>
        <w:tab w:val="right" w:pos="8306"/>
      </w:tabs>
    </w:pPr>
  </w:style>
  <w:style w:type="character" w:styleId="af3">
    <w:name w:val="page number"/>
    <w:basedOn w:val="a4"/>
  </w:style>
  <w:style w:type="paragraph" w:customStyle="1" w:styleId="af4">
    <w:name w:val="Раздел положения"/>
    <w:basedOn w:val="a3"/>
    <w:next w:val="a3"/>
    <w:pPr>
      <w:keepNext/>
      <w:keepLines/>
      <w:tabs>
        <w:tab w:val="num" w:pos="720"/>
      </w:tabs>
      <w:spacing w:before="200" w:after="200"/>
      <w:ind w:left="720" w:hanging="720"/>
      <w:jc w:val="left"/>
    </w:pPr>
    <w:rPr>
      <w:b/>
    </w:rPr>
  </w:style>
  <w:style w:type="paragraph" w:customStyle="1" w:styleId="12">
    <w:name w:val="Продолжение списка1 с интервал"/>
    <w:basedOn w:val="a3"/>
    <w:pPr>
      <w:spacing w:before="60"/>
      <w:ind w:left="703"/>
    </w:pPr>
    <w:rPr>
      <w:rFonts w:cs="Arial"/>
      <w:szCs w:val="24"/>
    </w:rPr>
  </w:style>
  <w:style w:type="character" w:customStyle="1" w:styleId="af1">
    <w:name w:val="Пункт договора Знак"/>
    <w:link w:val="a1"/>
    <w:rPr>
      <w:rFonts w:ascii="Arial" w:hAnsi="Arial"/>
    </w:rPr>
  </w:style>
  <w:style w:type="paragraph" w:customStyle="1" w:styleId="af5">
    <w:name w:val="Стиль буквы"/>
    <w:basedOn w:val="a1"/>
    <w:autoRedefine/>
    <w:pPr>
      <w:numPr>
        <w:ilvl w:val="0"/>
        <w:numId w:val="0"/>
      </w:numPr>
    </w:pPr>
    <w:rPr>
      <w:bCs/>
      <w:szCs w:val="24"/>
    </w:rPr>
  </w:style>
  <w:style w:type="paragraph" w:customStyle="1" w:styleId="0">
    <w:name w:val="Список0"/>
    <w:basedOn w:val="a3"/>
    <w:pPr>
      <w:numPr>
        <w:numId w:val="4"/>
      </w:numPr>
      <w:tabs>
        <w:tab w:val="clear" w:pos="720"/>
        <w:tab w:val="num" w:pos="360"/>
      </w:tabs>
      <w:spacing w:before="40"/>
      <w:ind w:left="360"/>
      <w:jc w:val="left"/>
    </w:pPr>
    <w:rPr>
      <w:rFonts w:cs="Arial"/>
      <w:szCs w:val="24"/>
    </w:rPr>
  </w:style>
  <w:style w:type="paragraph" w:customStyle="1" w:styleId="13">
    <w:name w:val="Список1"/>
    <w:basedOn w:val="a3"/>
    <w:pPr>
      <w:spacing w:before="20"/>
      <w:ind w:left="705" w:hanging="705"/>
    </w:pPr>
    <w:rPr>
      <w:szCs w:val="24"/>
    </w:rPr>
  </w:style>
  <w:style w:type="character" w:customStyle="1" w:styleId="ac">
    <w:name w:val="Текстовый Знак"/>
    <w:link w:val="a8"/>
    <w:rPr>
      <w:rFonts w:ascii="Arial" w:hAnsi="Arial"/>
      <w:lang w:val="ru-RU" w:eastAsia="ru-RU" w:bidi="ar-SA"/>
    </w:rPr>
  </w:style>
  <w:style w:type="paragraph" w:customStyle="1" w:styleId="2">
    <w:name w:val="Стиль2"/>
    <w:basedOn w:val="a3"/>
    <w:autoRedefine/>
    <w:pPr>
      <w:widowControl w:val="0"/>
      <w:numPr>
        <w:numId w:val="6"/>
      </w:numPr>
      <w:tabs>
        <w:tab w:val="clear" w:pos="1789"/>
      </w:tabs>
      <w:ind w:left="1560" w:hanging="426"/>
    </w:pPr>
  </w:style>
  <w:style w:type="paragraph" w:styleId="af6">
    <w:name w:val="Body Text"/>
    <w:basedOn w:val="a3"/>
    <w:pPr>
      <w:ind w:right="5669"/>
      <w:jc w:val="center"/>
    </w:pPr>
  </w:style>
  <w:style w:type="paragraph" w:styleId="af7">
    <w:name w:val="Body Text Indent"/>
    <w:basedOn w:val="a3"/>
    <w:pPr>
      <w:ind w:left="5670"/>
      <w:jc w:val="left"/>
    </w:pPr>
  </w:style>
  <w:style w:type="paragraph" w:styleId="22">
    <w:name w:val="Body Text Indent 2"/>
    <w:basedOn w:val="a3"/>
    <w:pPr>
      <w:ind w:left="709"/>
    </w:pPr>
  </w:style>
  <w:style w:type="paragraph" w:customStyle="1" w:styleId="1">
    <w:name w:val="Продолжение списка1"/>
    <w:basedOn w:val="a3"/>
    <w:pPr>
      <w:numPr>
        <w:numId w:val="5"/>
      </w:numPr>
    </w:pPr>
    <w:rPr>
      <w:szCs w:val="24"/>
    </w:rPr>
  </w:style>
  <w:style w:type="paragraph" w:customStyle="1" w:styleId="af8">
    <w:name w:val="Текстовый с интервалом"/>
    <w:basedOn w:val="a8"/>
    <w:pPr>
      <w:spacing w:before="40" w:after="20"/>
      <w:jc w:val="left"/>
    </w:pPr>
  </w:style>
  <w:style w:type="table" w:styleId="af9">
    <w:name w:val="Table Grid"/>
    <w:basedOn w:val="a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lock Text"/>
    <w:basedOn w:val="a3"/>
    <w:pPr>
      <w:tabs>
        <w:tab w:val="left" w:pos="8222"/>
      </w:tabs>
      <w:ind w:left="1276" w:right="1841"/>
    </w:pPr>
    <w:rPr>
      <w:spacing w:val="-6"/>
      <w:sz w:val="16"/>
    </w:rPr>
  </w:style>
  <w:style w:type="paragraph" w:customStyle="1" w:styleId="Iauiue1">
    <w:name w:val="Iau?iue1"/>
    <w:pPr>
      <w:widowControl w:val="0"/>
    </w:pPr>
    <w:rPr>
      <w:rFonts w:ascii="Peterburg" w:hAnsi="Peterburg"/>
      <w:sz w:val="24"/>
    </w:rPr>
  </w:style>
  <w:style w:type="paragraph" w:customStyle="1" w:styleId="main">
    <w:name w:val="main"/>
    <w:basedOn w:val="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main2">
    <w:name w:val="main2"/>
    <w:basedOn w:val="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afb">
    <w:name w:val="Hyperlink"/>
    <w:rPr>
      <w:strike w:val="0"/>
      <w:dstrike w:val="0"/>
      <w:color w:val="5067AF"/>
      <w:u w:val="none"/>
      <w:effect w:val="none"/>
      <w:shd w:val="clear" w:color="auto" w:fill="auto"/>
    </w:rPr>
  </w:style>
  <w:style w:type="paragraph" w:styleId="afc">
    <w:name w:val="Normal (Web)"/>
    <w:basedOn w:val="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f">
    <w:name w:val="Разновидность документа Знак"/>
    <w:link w:val="ae"/>
    <w:rPr>
      <w:rFonts w:ascii="Arial" w:hAnsi="Arial"/>
      <w:b/>
      <w:sz w:val="24"/>
      <w:lang w:val="ru-RU" w:eastAsia="ru-RU" w:bidi="ar-SA"/>
    </w:rPr>
  </w:style>
  <w:style w:type="paragraph" w:styleId="afd">
    <w:name w:val="footnote text"/>
    <w:basedOn w:val="a3"/>
    <w:semiHidden/>
  </w:style>
  <w:style w:type="character" w:styleId="afe">
    <w:name w:val="footnote reference"/>
    <w:semiHidden/>
    <w:rPr>
      <w:vertAlign w:val="superscript"/>
    </w:rPr>
  </w:style>
  <w:style w:type="character" w:customStyle="1" w:styleId="14">
    <w:name w:val="Текстовый Знак1"/>
    <w:rPr>
      <w:rFonts w:ascii="Arial" w:hAnsi="Arial"/>
      <w:lang w:val="ru-RU" w:eastAsia="ru-RU" w:bidi="ar-SA"/>
    </w:rPr>
  </w:style>
  <w:style w:type="character" w:customStyle="1" w:styleId="a9">
    <w:name w:val="Нижний колонтитул Знак"/>
    <w:link w:val="a7"/>
    <w:uiPriority w:val="99"/>
    <w:rPr>
      <w:rFonts w:ascii="Arial" w:hAnsi="Arial"/>
      <w:color w:val="0000FF"/>
      <w:sz w:val="16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3"/>
    <w:link w:val="aff1"/>
  </w:style>
  <w:style w:type="character" w:customStyle="1" w:styleId="aff1">
    <w:name w:val="Текст примечания Знак"/>
    <w:link w:val="aff0"/>
    <w:rPr>
      <w:rFonts w:ascii="Arial" w:hAnsi="Arial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link w:val="aff2"/>
    <w:rPr>
      <w:rFonts w:ascii="Arial" w:hAnsi="Arial"/>
      <w:b/>
      <w:bCs/>
    </w:rPr>
  </w:style>
  <w:style w:type="paragraph" w:styleId="aff4">
    <w:name w:val="Balloon Text"/>
    <w:basedOn w:val="a3"/>
    <w:link w:val="aff5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link w:val="aff4"/>
    <w:rPr>
      <w:rFonts w:ascii="Segoe UI" w:hAnsi="Segoe UI" w:cs="Segoe UI"/>
      <w:sz w:val="18"/>
      <w:szCs w:val="18"/>
    </w:rPr>
  </w:style>
  <w:style w:type="paragraph" w:styleId="aff6">
    <w:name w:val="Revision"/>
    <w:hidden/>
    <w:uiPriority w:val="99"/>
    <w:semiHidden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8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ice_broker@tvoybro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FEF1-6CAF-416A-85CE-A80D5FF6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3071</Words>
  <Characters>17507</Characters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Требования к изложению и оформлению технологических документов</vt:lpstr>
    </vt:vector>
  </TitlesOfParts>
  <LinksUpToDate>false</LinksUpToDate>
  <CharactersWithSpaces>20537</CharactersWithSpaces>
  <SharedDoc>false</SharedDoc>
  <HLinks>
    <vt:vector size="6" baseType="variant">
      <vt:variant>
        <vt:i4>6684724</vt:i4>
      </vt:variant>
      <vt:variant>
        <vt:i4>0</vt:i4>
      </vt:variant>
      <vt:variant>
        <vt:i4>0</vt:i4>
      </vt:variant>
      <vt:variant>
        <vt:i4>5</vt:i4>
      </vt:variant>
      <vt:variant>
        <vt:lpwstr>http://www.tvoybrok.ru/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2022-04-27T14:17:00Z</cp:lastPrinted>
  <dcterms:created xsi:type="dcterms:W3CDTF">2025-12-08T06:57:00Z</dcterms:created>
  <dcterms:modified xsi:type="dcterms:W3CDTF">2026-01-22T07:50:00Z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Управление делами</vt:lpwstr>
  </property>
  <property fmtid="{D5CDD505-2E9C-101B-9397-08002B2CF9AE}" pid="3" name="Editor">
    <vt:lpwstr>Седякина Е.Н.</vt:lpwstr>
  </property>
  <property fmtid="{D5CDD505-2E9C-101B-9397-08002B2CF9AE}" pid="4" name="Owner">
    <vt:lpwstr>АБ "ИБГ НИКойл" (ОАО)</vt:lpwstr>
  </property>
</Properties>
</file>