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a"/>
        <w:tabs>
          <w:tab w:val="left" w:pos="164"/>
        </w:tabs>
        <w:jc w:val="left"/>
        <w:rPr>
          <w:rFonts w:cs="Arial"/>
        </w:rPr>
      </w:pPr>
      <w:r>
        <w:rPr>
          <w:noProof/>
        </w:rPr>
        <w:drawing>
          <wp:inline distT="0" distB="0" distL="0" distR="0">
            <wp:extent cx="2752725" cy="542925"/>
            <wp:effectExtent l="0" t="0" r="0" b="9525"/>
            <wp:docPr id="1" name="Рисунок 1" descr="~8218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~82182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</w:t>
      </w:r>
      <w:r>
        <w:rPr>
          <w:rFonts w:cs="Arial"/>
        </w:rPr>
        <w:tab/>
      </w:r>
    </w:p>
    <w:p>
      <w:pPr>
        <w:spacing w:after="0" w:line="240" w:lineRule="auto"/>
        <w:ind w:left="5580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УТВЕРЖДЕНО</w:t>
      </w:r>
    </w:p>
    <w:p>
      <w:pPr>
        <w:spacing w:after="0" w:line="240" w:lineRule="auto"/>
        <w:ind w:left="558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Приказом </w:t>
      </w:r>
      <w:r>
        <w:rPr>
          <w:rFonts w:ascii="Arial" w:eastAsia="Times New Roman" w:hAnsi="Arial" w:cs="Arial"/>
          <w:sz w:val="20"/>
          <w:szCs w:val="20"/>
        </w:rPr>
        <w:t>Генерального директора</w:t>
      </w:r>
    </w:p>
    <w:p>
      <w:pPr>
        <w:spacing w:after="0" w:line="240" w:lineRule="auto"/>
        <w:ind w:left="558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ООО «УРАЛСИБ Брокер»</w:t>
      </w:r>
    </w:p>
    <w:p>
      <w:pPr>
        <w:spacing w:after="0" w:line="240" w:lineRule="auto"/>
        <w:ind w:left="5580"/>
        <w:rPr>
          <w:rFonts w:ascii="Arial" w:eastAsia="Times New Roman" w:hAnsi="Arial" w:cs="Arial"/>
          <w:bCs/>
          <w:snapToGrid w:val="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от  </w:t>
      </w:r>
      <w:r>
        <w:rPr>
          <w:rFonts w:ascii="Arial" w:eastAsia="Times New Roman" w:hAnsi="Arial" w:cs="Arial"/>
          <w:bCs/>
          <w:snapToGrid w:val="0"/>
          <w:sz w:val="20"/>
          <w:szCs w:val="20"/>
          <w:lang w:eastAsia="ru-RU"/>
        </w:rPr>
        <w:t>№ 32  от 28.06.2019г.</w:t>
      </w:r>
    </w:p>
    <w:p>
      <w:pPr>
        <w:spacing w:after="0" w:line="240" w:lineRule="auto"/>
        <w:ind w:left="5580"/>
        <w:rPr>
          <w:rFonts w:ascii="Arial" w:eastAsia="Times New Roman" w:hAnsi="Arial" w:cs="Arial"/>
          <w:bCs/>
          <w:snapToGrid w:val="0"/>
          <w:sz w:val="20"/>
          <w:szCs w:val="20"/>
          <w:lang w:eastAsia="ru-RU"/>
        </w:rPr>
      </w:pPr>
    </w:p>
    <w:p>
      <w:pPr>
        <w:spacing w:after="0" w:line="240" w:lineRule="auto"/>
        <w:ind w:left="5580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>
      <w:pPr>
        <w:spacing w:after="0" w:line="240" w:lineRule="auto"/>
        <w:ind w:left="558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ВВЕДЕНО В ДЕЙСТВИЕ</w:t>
      </w:r>
    </w:p>
    <w:p>
      <w:pPr>
        <w:spacing w:after="0" w:line="240" w:lineRule="auto"/>
        <w:ind w:left="558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с 01.07.2019г.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ПОРЯДОК ЗАКРЫТИЯ ПОЗИЦИЙ КЛИЕНТОВ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ООО  «</w:t>
      </w:r>
      <w:proofErr w:type="gramEnd"/>
      <w:r>
        <w:rPr>
          <w:rFonts w:ascii="Arial" w:hAnsi="Arial" w:cs="Arial"/>
          <w:b/>
          <w:bCs/>
        </w:rPr>
        <w:t>УРАЛСИБ Брокер»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(версия 1.1.)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Настоящий Порядок закрытия позиций Клиентов Общества с ограниченной ответственностью «УРАЛСИБ Брокер» (далее – «Порядок», «Брокер») разработан в соответствии с Указанием Банка России от 08.10.2018 № 4928-У "О требованиях к осуществлению брокерской деятельности при совершении брокером отдельных сделок с ценными бумагами и заключении договоров, являющихся производными финансовыми инструментами, критериях ликвидности ценных бумаг, предоставляемых в качестве обеспечения обязательств клиента перед брокером, при совершении брокером таких сделок и заключении таких договоров, а также об обязательных нормативах брокера, совершающего такие сделки и заключающего такие договоры"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Термины, не определенные в настоящем Порядке, трактуются, как они приведены в Регламенте.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содержит существенные условия заключения Брокером по поручению Клиента сделок (далее – «Закрытие позиций») и совершения иных операций, если НПР2 по Портфелю Клиента принимает значение меньше 0 (Нуля).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Настоящий Порядок является обязательным как для Брокера, так и для Клиента с момента заключения Клиентом  Договора на брокерское обслуживание/Договора на ведение индивидуального инвестиционного счета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Указанные в пункте 1.1 Порядка сделки и иные операции являются мерами по снижению размера Минимальной маржи и/или увеличению стоимости Портфеля Клиента и приведения НПР2 к положительному значению.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1.4. Время каждого Торгового дня, до которого снижение значения НПР2 ниже 0 (Нуля) влечет Закрытие позиций Клиента в течение этого Торгового дня (далее – «Ограничительное время закрытия позиций») устанавливается равным: 16:00:00 московского времени.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Если снижение значения НПР2 ниже 0 (Нуля) в течение Торгового дня наступило после Ограничительного времени закрытия </w:t>
      </w:r>
      <w:proofErr w:type="gramStart"/>
      <w:r>
        <w:rPr>
          <w:rFonts w:ascii="Arial" w:hAnsi="Arial" w:cs="Arial"/>
          <w:sz w:val="20"/>
          <w:szCs w:val="20"/>
        </w:rPr>
        <w:t>позиций,  Брокер</w:t>
      </w:r>
      <w:proofErr w:type="gramEnd"/>
      <w:r>
        <w:rPr>
          <w:rFonts w:ascii="Arial" w:hAnsi="Arial" w:cs="Arial"/>
          <w:sz w:val="20"/>
          <w:szCs w:val="20"/>
        </w:rPr>
        <w:t xml:space="preserve"> имеет право осуществить Закрытие позиций Клиента не позднее Ограничительного времени закрытия позиций ближайшего Торгового дня, следующего за Торговым днем, в котором наступило это обстоятельство. 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1.6. В случае если до Закрытия позиций Клиента организованные торги ценными бумагами (иностранной валютой) были приостановлены и их возобновление произошло после Ограничительного времени закрытия позиций, Брокер осуществляет Закрытие позиций Клиента не позднее Ограничительного времени закрытия позиций ближайшего торгового дня, следующего за торговым днем, в котором НПР2 принял значение ниже 0 (Нуля).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1.7. Если НПР2 по Портфелю Клиента принимает значение меньше 0 (Нуля), Брокер предпринимает Закрытие позиций в следующем порядке: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Заключает одну или несколько сделок купли-продажи на условиях, предусмотренных в п. 1.8 Порядка;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Осуществляет Конвертацию денежных средств на условиях, предусмотренных в п. 1.9 Порядка.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1.8. Существенные условия заключения сделок купли-продажи: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вид сделки</w:t>
      </w:r>
      <w:r>
        <w:rPr>
          <w:rFonts w:ascii="Arial" w:hAnsi="Arial" w:cs="Arial"/>
          <w:sz w:val="20"/>
          <w:szCs w:val="20"/>
        </w:rPr>
        <w:t>: покупка и/или продажа в зависимости от направленности открытой позиции Клиента;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 xml:space="preserve">вид, категория (тип), выпуск, идентификатор, ISIN, CFI, иная информация, однозначно идентифицирующая ценную </w:t>
      </w:r>
      <w:proofErr w:type="gramStart"/>
      <w:r>
        <w:rPr>
          <w:rFonts w:ascii="Arial" w:hAnsi="Arial" w:cs="Arial"/>
          <w:i/>
          <w:sz w:val="20"/>
          <w:szCs w:val="20"/>
        </w:rPr>
        <w:t>бумаг</w:t>
      </w:r>
      <w:r>
        <w:rPr>
          <w:rFonts w:ascii="Arial" w:hAnsi="Arial" w:cs="Arial"/>
          <w:sz w:val="20"/>
          <w:szCs w:val="20"/>
        </w:rPr>
        <w:t xml:space="preserve">:   </w:t>
      </w:r>
      <w:proofErr w:type="gramEnd"/>
      <w:r>
        <w:rPr>
          <w:rFonts w:ascii="Arial" w:hAnsi="Arial" w:cs="Arial"/>
          <w:sz w:val="20"/>
          <w:szCs w:val="20"/>
        </w:rPr>
        <w:t>соответствуют параметрам ценной бумаги, по которой у Клиента имеются открытые позиции;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количество</w:t>
      </w:r>
      <w:r>
        <w:rPr>
          <w:rFonts w:ascii="Arial" w:hAnsi="Arial" w:cs="Arial"/>
          <w:sz w:val="20"/>
          <w:szCs w:val="20"/>
        </w:rPr>
        <w:t xml:space="preserve">: количество ценных бумаг с учетом </w:t>
      </w:r>
      <w:proofErr w:type="spellStart"/>
      <w:r>
        <w:rPr>
          <w:rFonts w:ascii="Arial" w:hAnsi="Arial" w:cs="Arial"/>
          <w:sz w:val="20"/>
          <w:szCs w:val="20"/>
        </w:rPr>
        <w:t>лотности</w:t>
      </w:r>
      <w:proofErr w:type="spellEnd"/>
      <w:r>
        <w:rPr>
          <w:rFonts w:ascii="Arial" w:hAnsi="Arial" w:cs="Arial"/>
          <w:sz w:val="20"/>
          <w:szCs w:val="20"/>
        </w:rPr>
        <w:t>, в результате сделки(-</w:t>
      </w:r>
      <w:proofErr w:type="spellStart"/>
      <w:r>
        <w:rPr>
          <w:rFonts w:ascii="Arial" w:hAnsi="Arial" w:cs="Arial"/>
          <w:sz w:val="20"/>
          <w:szCs w:val="20"/>
        </w:rPr>
        <w:t>ок</w:t>
      </w:r>
      <w:proofErr w:type="spellEnd"/>
      <w:r>
        <w:rPr>
          <w:rFonts w:ascii="Arial" w:hAnsi="Arial" w:cs="Arial"/>
          <w:sz w:val="20"/>
          <w:szCs w:val="20"/>
        </w:rPr>
        <w:t xml:space="preserve">) с которыми НПР1 примет </w:t>
      </w:r>
      <w:proofErr w:type="gramStart"/>
      <w:r>
        <w:rPr>
          <w:rFonts w:ascii="Arial" w:hAnsi="Arial" w:cs="Arial"/>
          <w:sz w:val="20"/>
          <w:szCs w:val="20"/>
        </w:rPr>
        <w:t>положительное  значение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цена одной ценной бумаги</w:t>
      </w:r>
      <w:r>
        <w:rPr>
          <w:rFonts w:ascii="Arial" w:hAnsi="Arial" w:cs="Arial"/>
          <w:sz w:val="20"/>
          <w:szCs w:val="20"/>
        </w:rPr>
        <w:t xml:space="preserve"> – текущая рыночная цена на момент Закрытия позиции на анонимных торгах, за исключением случаев заключения сделок не на анонимных торгах, предусмотренных Регламентом;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− </w:t>
      </w:r>
      <w:r>
        <w:rPr>
          <w:rFonts w:ascii="Arial" w:hAnsi="Arial" w:cs="Arial"/>
          <w:i/>
          <w:sz w:val="20"/>
          <w:szCs w:val="20"/>
        </w:rPr>
        <w:t>срок Закрытия позиций</w:t>
      </w:r>
      <w:r>
        <w:rPr>
          <w:rFonts w:ascii="Arial" w:hAnsi="Arial" w:cs="Arial"/>
          <w:sz w:val="20"/>
          <w:szCs w:val="20"/>
        </w:rPr>
        <w:t xml:space="preserve"> – Ограничительное время закрытия позиций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1.9. Существенные условия Конвертации: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вид сделки</w:t>
      </w:r>
      <w:r>
        <w:rPr>
          <w:rFonts w:ascii="Arial" w:hAnsi="Arial" w:cs="Arial"/>
          <w:sz w:val="20"/>
          <w:szCs w:val="20"/>
        </w:rPr>
        <w:t>:  конвертация денежных средств;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сумма конвертации</w:t>
      </w:r>
      <w:r>
        <w:rPr>
          <w:rFonts w:ascii="Arial" w:hAnsi="Arial" w:cs="Arial"/>
          <w:sz w:val="20"/>
          <w:szCs w:val="20"/>
        </w:rPr>
        <w:t>: сумма, необходимая для Закрытия позиций или меньшая, но достаточная для снижения размера Начальной маржи и/или увеличению Стоимости Портфеля Клиента до уровня, при котором НПР1 превысит 0 (Ноль) на любую величину;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курс конвертации</w:t>
      </w:r>
      <w:r>
        <w:rPr>
          <w:rFonts w:ascii="Arial" w:hAnsi="Arial" w:cs="Arial"/>
          <w:sz w:val="20"/>
          <w:szCs w:val="20"/>
        </w:rPr>
        <w:t>: курс ПАО «Банк УРАЛСИБ» (определяется как курс конвертации на момент фактического ее осуществления). Клиент, заключая Договор на брокерское обслуживание, дает свое согласие на валютные курсы, указанные в настоящем пункте, по которым будет совершаться конвертация, и на расходы, связанные с ее совершением;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− </w:t>
      </w:r>
      <w:r>
        <w:rPr>
          <w:rFonts w:ascii="Arial" w:hAnsi="Arial" w:cs="Arial"/>
          <w:i/>
          <w:sz w:val="20"/>
          <w:szCs w:val="20"/>
        </w:rPr>
        <w:t>срок Закрытия позиций</w:t>
      </w:r>
      <w:r>
        <w:rPr>
          <w:rFonts w:ascii="Arial" w:hAnsi="Arial" w:cs="Arial"/>
          <w:sz w:val="20"/>
          <w:szCs w:val="20"/>
        </w:rPr>
        <w:t>: Ограничительное время закрытия позиций.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1.10. Брокер не осуществляет Закрытие позиций в случае, если до Закрытия позиций Клиента НПР2 принял положительное значение, или если размер минимальной маржи равен 0 (Нулю).</w:t>
      </w:r>
    </w:p>
    <w:p>
      <w:pPr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1C954-735A-48ED-8A51-395ECF98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customStyle="1" w:styleId="aa">
    <w:name w:val="Текстовый"/>
    <w:link w:val="a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Текстовый Знак"/>
    <w:link w:val="aa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Зизикова Татьяна Николаевна</dc:creator>
  <cp:lastModifiedBy>Зизикова Татьяна Николаевна</cp:lastModifiedBy>
  <cp:revision>3</cp:revision>
  <dcterms:created xsi:type="dcterms:W3CDTF">2025-06-17T07:44:00Z</dcterms:created>
  <dcterms:modified xsi:type="dcterms:W3CDTF">2025-06-19T10:32:00Z</dcterms:modified>
</cp:coreProperties>
</file>